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AI Identity Intake Form</w:t>
      </w:r>
    </w:p>
    <w:p>
      <w:r>
        <w:rPr>
          <w:i/>
          <w:color w:val="4A5680"/>
          <w:sz w:val="24"/>
        </w:rPr>
        <w:t>Bring AI actors into the same governance as every other identity, before they go live.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AI identity should not be onboarded through improvisation. If it is treated as a side request or an innovation exception, it will bypass the very structure identity is trying to create.</w:t>
      </w:r>
    </w:p>
    <w:p>
      <w:r>
        <w:t>This intake pulls AI actors back into the same governance system as every other actor.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Reach for it before any AI system or agent is given access, and again at each review.</w:t>
      </w:r>
    </w:p>
    <w:p>
      <w:r>
        <w:t>If an AI actor is already live without one, fill it in now.</w:t>
      </w:r>
    </w:p>
    <w:p>
      <w:r>
        <w:rPr>
          <w:i/>
          <w:color w:val="4A5680"/>
          <w:sz w:val="21"/>
        </w:rPr>
        <w:t>This is the front door: fill it out first, before access is granted. For instance-by-instance attribution when an agent forks into parallel copies, use the Agent Lifecycle Intake Form. For the specific authority-overlap calculation between an agent and the person it acts for, use the AI Access Boundary Template.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Treat the boundaries as the heart of the form. What the agent may not do matters as much as what it may.</w:t>
      </w:r>
    </w:p>
    <w:p>
      <w:pPr>
        <w:pStyle w:val="ListBullet"/>
      </w:pPr>
      <w:r>
        <w:t>Require a logging plan before access, not after. You cannot review what you did not capture.</w:t>
      </w:r>
    </w:p>
    <w:p>
      <w:pPr>
        <w:pStyle w:val="ListBullet"/>
      </w:pPr>
      <w:r>
        <w:t>Decide the deactivation plan up front. An AI identity with no off switch is a standing risk.</w:t>
      </w:r>
    </w:p>
    <w:p>
      <w:pPr>
        <w:pStyle w:val="ListBullet"/>
      </w:pPr>
      <w:r>
        <w:t>Review on a set cadence, because AI scope tends to expand between reviews.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reconciliation agent.*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AI identity name</w:t>
            </w:r>
          </w:p>
        </w:tc>
        <w:tc>
          <w:tcPr>
            <w:tcW w:type="dxa" w:w="4680"/>
          </w:tcPr>
          <w:p>
            <w:r>
              <w:t>billing-reconciler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4680"/>
          </w:tcPr>
          <w:p>
            <w:r>
              <w:t>Agentic AI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 or sponsor</w:t>
            </w:r>
          </w:p>
        </w:tc>
        <w:tc>
          <w:tcPr>
            <w:tcW w:type="dxa" w:w="4680"/>
          </w:tcPr>
          <w:p>
            <w:r>
              <w:t>Revenue operations sponsor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Business purpose</w:t>
            </w:r>
          </w:p>
        </w:tc>
        <w:tc>
          <w:tcPr>
            <w:tcW w:type="dxa" w:w="4680"/>
          </w:tcPr>
          <w:p>
            <w:r>
              <w:t>Reconcile invoices against payments and flag mismatches for review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Delegated boundaries</w:t>
            </w:r>
          </w:p>
        </w:tc>
        <w:tc>
          <w:tcPr>
            <w:tcW w:type="dxa" w:w="4680"/>
          </w:tcPr>
          <w:p>
            <w:r>
              <w:t>May read invoices and payments; may flag and comment; may not issue credits, refunds, or write to the ledger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Systems touched</w:t>
            </w:r>
          </w:p>
        </w:tc>
        <w:tc>
          <w:tcPr>
            <w:tcW w:type="dxa" w:w="4680"/>
          </w:tcPr>
          <w:p>
            <w:r>
              <w:t>Billing (read), payments (read), reconciliation queue (write comments)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Access requested</w:t>
            </w:r>
          </w:p>
        </w:tc>
        <w:tc>
          <w:tcPr>
            <w:tcW w:type="dxa" w:w="4680"/>
          </w:tcPr>
          <w:p>
            <w:r>
              <w:t>Read-only on billing and payments; comment access on the reconciliation queue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Credentials used</w:t>
            </w:r>
          </w:p>
        </w:tc>
        <w:tc>
          <w:tcPr>
            <w:tcW w:type="dxa" w:w="4680"/>
          </w:tcPr>
          <w:p>
            <w:r>
              <w:t>Short-lived workload credential, rotated on a set schedule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Telemetry and logging plan</w:t>
            </w:r>
          </w:p>
        </w:tc>
        <w:tc>
          <w:tcPr>
            <w:tcW w:type="dxa" w:w="4680"/>
          </w:tcPr>
          <w:p>
            <w:r>
              <w:t>Every action logged with the agent identity and the intent of the call; logs retained per policy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At onboarding, then quarterly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Deactivation plan</w:t>
            </w:r>
          </w:p>
        </w:tc>
        <w:tc>
          <w:tcPr>
            <w:tcW w:type="dxa" w:w="4680"/>
          </w:tcPr>
          <w:p>
            <w:r>
              <w:t>Sponsor or IAM lead can disable the credential immediately; access auto-expires if the credential is not renewed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signatures</w:t>
            </w:r>
          </w:p>
        </w:tc>
        <w:tc>
          <w:tcPr>
            <w:tcW w:type="dxa" w:w="4680"/>
          </w:tcPr>
          <w:p>
            <w:r>
              <w:t>Sponsor, IAM lead, data owner (payments)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AI identity. Copy this block for each additional AI system or agent.*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AI identity name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 or sponsor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Business purpose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Delegated boundaries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Systems touched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Access requested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Credentials used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Telemetry and logging plan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Deactivation plan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signatures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AI identity name</w:t>
            </w:r>
          </w:p>
        </w:tc>
        <w:tc>
          <w:tcPr>
            <w:tcW w:type="dxa" w:w="4680"/>
          </w:tcPr>
          <w:p>
            <w:r>
              <w:t>The name the AI identity carries in your systems, so its actions can be traced to it.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4680"/>
          </w:tcPr>
          <w:p>
            <w:r>
              <w:t>Whether this is an AI system or an agentic AI. The distinction affects how tightly boundaries and logging matter.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 or sponsor</w:t>
            </w:r>
          </w:p>
        </w:tc>
        <w:tc>
          <w:tcPr>
            <w:tcW w:type="dxa" w:w="4680"/>
          </w:tcPr>
          <w:p>
            <w:r>
              <w:t>The human role accountable for this AI identity. Every AI actor needs a named human owner.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Business purpose</w:t>
            </w:r>
          </w:p>
        </w:tc>
        <w:tc>
          <w:tcPr>
            <w:tcW w:type="dxa" w:w="4680"/>
          </w:tcPr>
          <w:p>
            <w:r>
              <w:t>Why the AI identity exists, in one plain sentence.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Delegated boundaries</w:t>
            </w:r>
          </w:p>
        </w:tc>
        <w:tc>
          <w:tcPr>
            <w:tcW w:type="dxa" w:w="4680"/>
          </w:tcPr>
          <w:p>
            <w:r>
              <w:t>What the agent may and may not do. This is the most important field on the form.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Systems touched</w:t>
            </w:r>
          </w:p>
        </w:tc>
        <w:tc>
          <w:tcPr>
            <w:tcW w:type="dxa" w:w="4680"/>
          </w:tcPr>
          <w:p>
            <w:r>
              <w:t>Every system the identity reaches, and at what level.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Access requested</w:t>
            </w:r>
          </w:p>
        </w:tc>
        <w:tc>
          <w:tcPr>
            <w:tcW w:type="dxa" w:w="4680"/>
          </w:tcPr>
          <w:p>
            <w:r>
              <w:t>The specific access being requested, scoped to the purpose.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Credentials used</w:t>
            </w:r>
          </w:p>
        </w:tc>
        <w:tc>
          <w:tcPr>
            <w:tcW w:type="dxa" w:w="4680"/>
          </w:tcPr>
          <w:p>
            <w:r>
              <w:t>What credential the identity carries, and how its life is bound and rotated.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Telemetry and logging plan</w:t>
            </w:r>
          </w:p>
        </w:tc>
        <w:tc>
          <w:tcPr>
            <w:tcW w:type="dxa" w:w="4680"/>
          </w:tcPr>
          <w:p>
            <w:r>
              <w:t>How the identity's actions are captured. Required before access, so reviews have something to review.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How often the AI identity is reviewed against its purpose and boundaries.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Deactivation plan</w:t>
            </w:r>
          </w:p>
        </w:tc>
        <w:tc>
          <w:tcPr>
            <w:tcW w:type="dxa" w:w="4680"/>
          </w:tcPr>
          <w:p>
            <w:r>
              <w:t>How the identity is turned off, both on demand and by default.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signatures</w:t>
            </w:r>
          </w:p>
        </w:tc>
        <w:tc>
          <w:tcPr>
            <w:tcW w:type="dxa" w:w="4680"/>
          </w:tcPr>
          <w:p>
            <w:r>
              <w:t>Who signed off, so the decision has named accountability.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modernidentityoperatingmodel.com/license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Identity Intake Form</dc:title>
  <dc:subject>Companion to The Modern Identity Operating Model</dc:subject>
  <dc:creator>Becky Sandberg</dc:creator>
  <cp:lastModifiedBy>Becky Sandberg</cp:lastModifiedBy>
  <cp:keywords>identity, IAM, operating model</cp:keywords>
  <dcterms:created xsi:type="dcterms:W3CDTF">2013-12-23T23:15:00Z</dcterms:created>
  <dcterms:modified xsi:type="dcterms:W3CDTF">2013-12-23T23:15:00Z</dcterms:modified>
</cp:coreProperties>
</file>