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Georgia" w:cs="Georgia" w:eastAsia="Georgia" w:hAnsi="Georgia"/>
          <w:b/>
          <w:bCs/>
          <w:color w:val="1B2A55"/>
          <w:sz w:val="18"/>
          <w:szCs w:val="18"/>
        </w:rPr>
        <w:t xml:space="preserve">THE MODERN IDENTITY OPERATING MODEL</w:t>
      </w:r>
      <w:r>
        <w:rPr>
          <w:rFonts w:ascii="Georgia" w:cs="Georgia" w:eastAsia="Georgia" w:hAnsi="Georgia"/>
          <w:b/>
          <w:bCs/>
          <w:color w:val="4A5680"/>
          <w:sz w:val="18"/>
          <w:szCs w:val="18"/>
        </w:rPr>
        <w:t xml:space="preserve">    COMPANION WORKBOOK</w:t>
      </w:r>
    </w:p>
    <w:p>
      <w:pPr>
        <w:spacing w:after="80" w:before="120"/>
      </w:pPr>
      <w:r>
        <w:rPr>
          <w:rFonts w:ascii="Georgia" w:cs="Georgia" w:eastAsia="Georgia" w:hAnsi="Georgia"/>
          <w:b/>
          <w:bCs/>
          <w:color w:val="1B2A55"/>
          <w:sz w:val="48"/>
          <w:szCs w:val="48"/>
        </w:rPr>
        <w:t xml:space="preserve">Communication Plan Template</w:t>
      </w:r>
    </w:p>
    <w:p>
      <w:pPr>
        <w:spacing w:after="160"/>
      </w:pPr>
      <w:r>
        <w:rPr>
          <w:rFonts w:ascii="Calibri" w:cs="Calibri" w:eastAsia="Calibri" w:hAnsi="Calibri"/>
          <w:i/>
          <w:iCs/>
          <w:color w:val="4A5680"/>
          <w:sz w:val="24"/>
          <w:szCs w:val="24"/>
        </w:rPr>
        <w:t xml:space="preserve">Plan the audiences, threads, and timing that carry an identity change.</w:t>
      </w:r>
    </w:p>
    <w:p>
      <w:pPr>
        <w:pBdr>
          <w:bottom w:val="single" w:color="163F7D" w:sz="6" w:space="6"/>
        </w:pBdr>
        <w:spacing w:after="240"/>
      </w:pPr>
      <w:r>
        <w:rPr>
          <w:rFonts w:ascii="Calibri" w:cs="Calibri" w:eastAsia="Calibri" w:hAnsi="Calibri"/>
          <w:color w:val="4A5680"/>
          <w:sz w:val="18"/>
          <w:szCs w:val="18"/>
        </w:rPr>
        <w:t xml:space="preserve">Adapted from Chapter 17 of The Modern Identity Operating Model by Becky Sandberg. © 2026 Becky Sandberg.</w:t>
      </w:r>
    </w:p>
    <w:p>
      <w:pPr>
        <w:pStyle w:val="Heading1"/>
        <w:spacing w:after="120" w:before="320"/>
      </w:pPr>
      <w:r>
        <w:rPr>
          <w:rFonts w:ascii="Georgia" w:cs="Georgia" w:eastAsia="Georgia" w:hAnsi="Georgia"/>
          <w:b/>
          <w:bCs/>
          <w:color w:val="1B2A55"/>
          <w:sz w:val="28"/>
          <w:szCs w:val="28"/>
        </w:rPr>
        <w:t xml:space="preserve">What this is</w:t>
      </w:r>
    </w:p>
    <w:p>
      <w:pPr>
        <w:spacing w:after="160" w:line="276"/>
      </w:pPr>
      <w:r>
        <w:rPr>
          <w:rFonts w:ascii="Calibri" w:cs="Calibri" w:eastAsia="Calibri" w:hAnsi="Calibri"/>
          <w:sz w:val="22"/>
          <w:szCs w:val="22"/>
        </w:rPr>
        <w:t xml:space="preserve">Communication should not begin the week before rollout. It should begin when the change is first being shaped. A communication plan identifies the audiences affected, the decisions or behaviors changing, the messages each audience needs, the timing of those messages, the channels that will be used, the support material that must exist at launch, and the feedback loops that will capture confusion and resistance.</w:t>
      </w:r>
    </w:p>
    <w:p>
      <w:pPr>
        <w:spacing w:after="160" w:line="276"/>
      </w:pPr>
      <w:r>
        <w:rPr>
          <w:rFonts w:ascii="Calibri" w:cs="Calibri" w:eastAsia="Calibri" w:hAnsi="Calibri"/>
          <w:sz w:val="22"/>
          <w:szCs w:val="22"/>
        </w:rPr>
        <w:t xml:space="preserve">The plan carries two threads. A broad thread lets the organization see what is happening. Targeted threads tell the people whose work changes exactly what to do differently.</w:t>
      </w:r>
    </w:p>
    <w:p>
      <w:pPr>
        <w:pStyle w:val="Heading1"/>
        <w:spacing w:after="120" w:before="320"/>
      </w:pPr>
      <w:r>
        <w:rPr>
          <w:rFonts w:ascii="Georgia" w:cs="Georgia" w:eastAsia="Georgia" w:hAnsi="Georgia"/>
          <w:b/>
          <w:bCs/>
          <w:color w:val="1B2A55"/>
          <w:sz w:val="28"/>
          <w:szCs w:val="28"/>
        </w:rPr>
        <w:t xml:space="preserve">When to reach for it</w:t>
      </w:r>
    </w:p>
    <w:p>
      <w:pPr>
        <w:spacing w:after="160" w:line="276"/>
      </w:pPr>
      <w:r>
        <w:rPr>
          <w:rFonts w:ascii="Calibri" w:cs="Calibri" w:eastAsia="Calibri" w:hAnsi="Calibri"/>
          <w:sz w:val="22"/>
          <w:szCs w:val="22"/>
        </w:rPr>
        <w:t xml:space="preserve">Reach for it whenever an identity change will alter what someone approves, requests, owns, or does: a new access request process, a change to manager approvals, owners being named for the first time, a lifecycle change, or an AI agent taking on work a person used to do.</w:t>
      </w:r>
    </w:p>
    <w:p>
      <w:pPr>
        <w:spacing w:after="160" w:line="276"/>
      </w:pPr>
      <w:r>
        <w:rPr>
          <w:rFonts w:ascii="Calibri" w:cs="Calibri" w:eastAsia="Calibri" w:hAnsi="Calibri"/>
          <w:sz w:val="22"/>
          <w:szCs w:val="22"/>
        </w:rPr>
        <w:t xml:space="preserve">Start the plan when the change is first being shaped, not when rollout is scheduled. The messages get better when the plan grows up alongside the change.</w:t>
      </w:r>
    </w:p>
    <w:p>
      <w:pPr>
        <w:pStyle w:val="Heading1"/>
        <w:spacing w:after="120" w:before="320"/>
      </w:pPr>
      <w:r>
        <w:rPr>
          <w:rFonts w:ascii="Georgia" w:cs="Georgia" w:eastAsia="Georgia" w:hAnsi="Georgia"/>
          <w:b/>
          <w:bCs/>
          <w:color w:val="1B2A55"/>
          <w:sz w:val="28"/>
          <w:szCs w:val="28"/>
        </w:rPr>
        <w:t xml:space="preserve">How to use it</w:t>
      </w:r>
    </w:p>
    <w:p>
      <w:pPr>
        <w:pStyle w:val="ListParagraph"/>
        <w:numPr>
          <w:ilvl w:val="0"/>
          <w:numId w:val="2"/>
        </w:numPr>
        <w:spacing w:after="120" w:line="276"/>
      </w:pPr>
      <w:r>
        <w:rPr>
          <w:rFonts w:ascii="Calibri" w:cs="Calibri" w:eastAsia="Calibri" w:hAnsi="Calibri"/>
          <w:sz w:val="22"/>
          <w:szCs w:val="22"/>
        </w:rPr>
        <w:t xml:space="preserve">Fill in the broad thread first: what is happening, why it matters, and when the organization will feel it.</w:t>
      </w:r>
    </w:p>
    <w:p>
      <w:pPr>
        <w:pStyle w:val="ListParagraph"/>
        <w:numPr>
          <w:ilvl w:val="0"/>
          <w:numId w:val="2"/>
        </w:numPr>
        <w:spacing w:after="120" w:line="276"/>
      </w:pPr>
      <w:r>
        <w:rPr>
          <w:rFonts w:ascii="Calibri" w:cs="Calibri" w:eastAsia="Calibri" w:hAnsi="Calibri"/>
          <w:sz w:val="22"/>
          <w:szCs w:val="22"/>
        </w:rPr>
        <w:t xml:space="preserve">Add one targeted thread for each audience whose work actually changes. If nothing changes for a group, they belong in the broad thread, not a targeted one.</w:t>
      </w:r>
    </w:p>
    <w:p>
      <w:pPr>
        <w:pStyle w:val="ListParagraph"/>
        <w:numPr>
          <w:ilvl w:val="0"/>
          <w:numId w:val="2"/>
        </w:numPr>
        <w:spacing w:after="120" w:line="276"/>
      </w:pPr>
      <w:r>
        <w:rPr>
          <w:rFonts w:ascii="Calibri" w:cs="Calibri" w:eastAsia="Calibri" w:hAnsi="Calibri"/>
          <w:sz w:val="22"/>
          <w:szCs w:val="22"/>
        </w:rPr>
        <w:t xml:space="preserve">Write messages in each audience's terms: what they will do differently, not how the system works inside. Role-based, repeated, and practical beats a single launch announcement.</w:t>
      </w:r>
    </w:p>
    <w:p>
      <w:pPr>
        <w:pStyle w:val="ListParagraph"/>
        <w:numPr>
          <w:ilvl w:val="0"/>
          <w:numId w:val="2"/>
        </w:numPr>
        <w:spacing w:after="120" w:line="276"/>
      </w:pPr>
      <w:r>
        <w:rPr>
          <w:rFonts w:ascii="Calibri" w:cs="Calibri" w:eastAsia="Calibri" w:hAnsi="Calibri"/>
          <w:sz w:val="22"/>
          <w:szCs w:val="22"/>
        </w:rPr>
        <w:t xml:space="preserve">Plan for pull as well as push. Much of what people retain, they go and get at the moment they need it, so the support material has to exist at launch, be findable, and name someone reachable for questions.</w:t>
      </w:r>
    </w:p>
    <w:p>
      <w:pPr>
        <w:pStyle w:val="ListParagraph"/>
        <w:numPr>
          <w:ilvl w:val="0"/>
          <w:numId w:val="2"/>
        </w:numPr>
        <w:spacing w:after="120" w:line="276"/>
      </w:pPr>
      <w:r>
        <w:rPr>
          <w:rFonts w:ascii="Calibri" w:cs="Calibri" w:eastAsia="Calibri" w:hAnsi="Calibri"/>
          <w:sz w:val="22"/>
          <w:szCs w:val="22"/>
        </w:rPr>
        <w:t xml:space="preserve">Give every audience a feedback loop, and treat what comes back as signal. Confusion and resistance tell you where the plan, or the change itself, needs work.</w:t>
      </w:r>
    </w:p>
    <w:p>
      <w:pPr>
        <w:pStyle w:val="ListParagraph"/>
        <w:numPr>
          <w:ilvl w:val="0"/>
          <w:numId w:val="2"/>
        </w:numPr>
        <w:spacing w:after="120" w:line="276"/>
      </w:pPr>
      <w:r>
        <w:rPr>
          <w:rFonts w:ascii="Calibri" w:cs="Calibri" w:eastAsia="Calibri" w:hAnsi="Calibri"/>
          <w:sz w:val="22"/>
          <w:szCs w:val="22"/>
        </w:rPr>
        <w:t xml:space="preserve">Some stakeholders need to be inside the project rather than told at the end, because they carry the change to their own teams. Use the Stakeholder and Sponsor Map to identify them.</w:t>
      </w:r>
    </w:p>
    <w:p>
      <w:pPr>
        <w:pStyle w:val="Heading1"/>
        <w:spacing w:after="120" w:before="320"/>
      </w:pPr>
      <w:r>
        <w:rPr>
          <w:rFonts w:ascii="Georgia" w:cs="Georgia" w:eastAsia="Georgia" w:hAnsi="Georgia"/>
          <w:b/>
          <w:bCs/>
          <w:color w:val="1B2A55"/>
          <w:sz w:val="28"/>
          <w:szCs w:val="28"/>
        </w:rPr>
        <w:t xml:space="preserve">A worked example</w:t>
      </w:r>
    </w:p>
    <w:p>
      <w:pPr>
        <w:spacing w:after="160"/>
      </w:pPr>
      <w:r>
        <w:rPr>
          <w:rFonts w:ascii="Calibri" w:cs="Calibri" w:eastAsia="Calibri" w:hAnsi="Calibri"/>
          <w:i/>
          <w:iCs/>
          <w:color w:val="4A5680"/>
          <w:sz w:val="20"/>
          <w:szCs w:val="20"/>
        </w:rPr>
        <w:t xml:space="preserve">A realistic plan for one change: a new access request and manager approval process. The audiences, timing, and channels are illustrative. Replace them with your own.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9360"/>
            <w:gridSpan w:val="2"/>
            <w:shd w:fill="1B2A55" w:val="clear"/>
            <w:tcMar>
              <w:top w:type="dxa" w:w="80"/>
              <w:left w:type="dxa" w:w="110"/>
              <w:bottom w:type="dxa" w:w="80"/>
              <w:right w:type="dxa" w:w="110"/>
            </w:tcMar>
          </w:tcPr>
          <w:p>
            <w:pPr>
              <w:spacing w:after="0"/>
            </w:pPr>
            <w:r>
              <w:rPr>
                <w:rFonts w:ascii="Calibri" w:cs="Calibri" w:eastAsia="Calibri" w:hAnsi="Calibri"/>
                <w:b/>
                <w:bCs/>
                <w:color w:val="FFFFFF"/>
                <w:sz w:val="20"/>
                <w:szCs w:val="20"/>
              </w:rPr>
              <w:t xml:space="preserve">BROAD THREAD: the organization</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What is changing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Access requests and manager approvals move to a single request process with clearer role descriptions.</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Why it matters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Fewer approvals made in confusion, faster access for people who need it, and cleaner reviews later.</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Timing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Announced two weeks before go-live, repeated at go-live, recapped after the first month.</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Channels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All-hands mention, monthly newsletter, intranet announcement.</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Support material at launch</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 plain-language overview page describing what changed and where to go for help.</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Feedback loop</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Comments on the intranet post and a short pulse question in the monthly survey.</w:t>
            </w:r>
          </w:p>
        </w:tc>
      </w:tr>
    </w:tbl>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9360"/>
            <w:gridSpan w:val="2"/>
            <w:shd w:fill="1B2A55" w:val="clear"/>
            <w:tcMar>
              <w:top w:type="dxa" w:w="80"/>
              <w:left w:type="dxa" w:w="110"/>
              <w:bottom w:type="dxa" w:w="80"/>
              <w:right w:type="dxa" w:w="110"/>
            </w:tcMar>
          </w:tcPr>
          <w:p>
            <w:pPr>
              <w:spacing w:after="0"/>
            </w:pPr>
            <w:r>
              <w:rPr>
                <w:rFonts w:ascii="Calibri" w:cs="Calibri" w:eastAsia="Calibri" w:hAnsi="Calibri"/>
                <w:b/>
                <w:bCs/>
                <w:color w:val="FFFFFF"/>
                <w:sz w:val="20"/>
                <w:szCs w:val="20"/>
              </w:rPr>
              <w:t xml:space="preserve">TARGETED THREAD 1</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Audience</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Managers who approve access</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Decisions or behaviors changing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Approvals arrive in a new queue, and each request now shows what the role actually grants.</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Messages this audience needs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What you are approving, how to read a request, what should make you pause, and when to escalate.</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Timing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 walkthrough one week before go-live and a reminder on the day approvals move.</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Channels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Manager staff meetings and a short recorded walkthrough.</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Support material at launch</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 one-page approval guide, findable from the approval screen itself, with a named contact for questions.</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Feedback loop</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Office hours during the first two weeks, and approval questions tracked by the help desk.</w:t>
            </w:r>
          </w:p>
        </w:tc>
      </w:tr>
    </w:tbl>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9360"/>
            <w:gridSpan w:val="2"/>
            <w:shd w:fill="1B2A55" w:val="clear"/>
            <w:tcMar>
              <w:top w:type="dxa" w:w="80"/>
              <w:left w:type="dxa" w:w="110"/>
              <w:bottom w:type="dxa" w:w="80"/>
              <w:right w:type="dxa" w:w="110"/>
            </w:tcMar>
          </w:tcPr>
          <w:p>
            <w:pPr>
              <w:spacing w:after="0"/>
            </w:pPr>
            <w:r>
              <w:rPr>
                <w:rFonts w:ascii="Calibri" w:cs="Calibri" w:eastAsia="Calibri" w:hAnsi="Calibri"/>
                <w:b/>
                <w:bCs/>
                <w:color w:val="FFFFFF"/>
                <w:sz w:val="20"/>
                <w:szCs w:val="20"/>
              </w:rPr>
              <w:t xml:space="preserve">TARGETED THREAD 2</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Audience</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Application owners</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Decisions or behaviors changing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Requests for their applications now reference defined roles instead of free-text access descriptions.</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Messages this audience needs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What they own, how the new role structure maps to their application, and what evidence future reviews will expect.</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Timing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 working session while the change is being designed, and confirmation two weeks before go-live.</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Channels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Direct working sessions with the identity team.</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Support material at launch</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The role definitions for their application, kept somewhere they can find again.</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Feedback loop</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 named identity team contact and a standing item in the application review meeting.</w:t>
            </w:r>
          </w:p>
        </w:tc>
      </w:tr>
    </w:tbl>
    <w:p>
      <w:pPr>
        <w:pStyle w:val="Heading1"/>
        <w:spacing w:after="120" w:before="320"/>
      </w:pPr>
      <w:r>
        <w:rPr>
          <w:rFonts w:ascii="Georgia" w:cs="Georgia" w:eastAsia="Georgia" w:hAnsi="Georgia"/>
          <w:b/>
          <w:bCs/>
          <w:color w:val="1B2A55"/>
          <w:sz w:val="28"/>
          <w:szCs w:val="28"/>
        </w:rPr>
        <w:t xml:space="preserve">The blank form</w:t>
      </w:r>
    </w:p>
    <w:p>
      <w:pPr>
        <w:spacing w:after="160"/>
      </w:pPr>
      <w:r>
        <w:rPr>
          <w:rFonts w:ascii="Calibri" w:cs="Calibri" w:eastAsia="Calibri" w:hAnsi="Calibri"/>
          <w:i/>
          <w:iCs/>
          <w:color w:val="4A5680"/>
          <w:sz w:val="20"/>
          <w:szCs w:val="20"/>
        </w:rPr>
        <w:t xml:space="preserve">Fill in the broad thread once. Copy the targeted thread block for each audience whose work changes.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9360"/>
            <w:gridSpan w:val="2"/>
            <w:shd w:fill="1B2A55" w:val="clear"/>
            <w:tcMar>
              <w:top w:type="dxa" w:w="80"/>
              <w:left w:type="dxa" w:w="110"/>
              <w:bottom w:type="dxa" w:w="80"/>
              <w:right w:type="dxa" w:w="110"/>
            </w:tcMar>
          </w:tcPr>
          <w:p>
            <w:pPr>
              <w:spacing w:after="0"/>
            </w:pPr>
            <w:r>
              <w:rPr>
                <w:rFonts w:ascii="Calibri" w:cs="Calibri" w:eastAsia="Calibri" w:hAnsi="Calibri"/>
                <w:b/>
                <w:bCs/>
                <w:color w:val="FFFFFF"/>
                <w:sz w:val="20"/>
                <w:szCs w:val="20"/>
              </w:rPr>
              <w:t xml:space="preserve">BROAD THREAD: the organization</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What is changing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Why it matters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Timing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Channels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Support material at launch</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Feedback loop</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bl>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9360"/>
            <w:gridSpan w:val="2"/>
            <w:shd w:fill="1B2A55" w:val="clear"/>
            <w:tcMar>
              <w:top w:type="dxa" w:w="80"/>
              <w:left w:type="dxa" w:w="110"/>
              <w:bottom w:type="dxa" w:w="80"/>
              <w:right w:type="dxa" w:w="110"/>
            </w:tcMar>
          </w:tcPr>
          <w:p>
            <w:pPr>
              <w:spacing w:after="0"/>
            </w:pPr>
            <w:r>
              <w:rPr>
                <w:rFonts w:ascii="Calibri" w:cs="Calibri" w:eastAsia="Calibri" w:hAnsi="Calibri"/>
                <w:b/>
                <w:bCs/>
                <w:color w:val="FFFFFF"/>
                <w:sz w:val="20"/>
                <w:szCs w:val="20"/>
              </w:rPr>
              <w:t xml:space="preserve">TARGETED THREAD</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Audience</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Decisions or behaviors changing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Messages this audience needs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Timing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Channels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Support material at launch</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Feedback loop</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bl>
    <w:p>
      <w:pPr>
        <w:pStyle w:val="Heading1"/>
        <w:spacing w:after="120" w:before="320"/>
      </w:pPr>
      <w:r>
        <w:rPr>
          <w:rFonts w:ascii="Georgia" w:cs="Georgia" w:eastAsia="Georgia" w:hAnsi="Georgia"/>
          <w:b/>
          <w:bCs/>
          <w:color w:val="1B2A55"/>
          <w:sz w:val="28"/>
          <w:szCs w:val="28"/>
        </w:rPr>
        <w:t xml:space="preserve">Field guidance</w:t>
      </w:r>
    </w:p>
    <w:p>
      <w:pPr>
        <w:spacing w:after="160"/>
      </w:pPr>
      <w:r>
        <w:rPr>
          <w:rFonts w:ascii="Calibri" w:cs="Calibri" w:eastAsia="Calibri" w:hAnsi="Calibri"/>
          <w:i/>
          <w:iCs/>
          <w:color w:val="4A5680"/>
          <w:sz w:val="20"/>
          <w:szCs w:val="20"/>
        </w:rPr>
        <w:t xml:space="preserve">What belongs in each field, and why it earns its place.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260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Field</w:t>
            </w:r>
          </w:p>
        </w:tc>
        <w:tc>
          <w:tcPr>
            <w:tcW w:type="dxa" w:w="676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What goes here</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Audience</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The group whose work the change touches, named specifically. Managers who approve access is a better audience than all staff, because a specific audience produces a specific message.</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Thread</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Broad or targeted. The broad thread lets the organization see what is happening. A targeted thread tells the people whose work changes exactly what to do differently.</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Decisions or behaviors changing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What this audience will decide or do differently once the change lands. If you cannot state it, the audience may not need a targeted thread.</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Messages this audience needs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What they need to hear, in their terms. Role-based, practical, and grounded in real work rather than the system's internal logic.</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Timing</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When each message lands, and how it repeats. Communication that works is repeated. One announcement is not a plan.</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Channels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Where the messages travel, favoring the channels the audience already trusts.</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Support material at launch</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What must exist and be findable on day one, and who is reachable when someone has a question. People pull much of what they retain at the moment they need it.</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Feedback loop</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How confusion and resistance will reach you: office hours, help desk tracking, surveys, or a named contact. Resistance is data, so make sure it has a path back.</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2E0" w:sz="4" w:space="4"/>
      </w:pBdr>
      <w:tabs>
        <w:tab w:val="right" w:pos="9360"/>
      </w:tabs>
    </w:pPr>
    <w:r>
      <w:rPr>
        <w:rFonts w:ascii="Calibri" w:cs="Calibri" w:eastAsia="Calibri" w:hAnsi="Calibri"/>
        <w:color w:val="4A5680"/>
        <w:sz w:val="16"/>
        <w:szCs w:val="16"/>
      </w:rPr>
      <w:t xml:space="preserve">From The Modern Identity Operating Model by Becky Sandberg.  © 2026 Becky Sandberg.</w:t>
    </w:r>
    <w:r>
      <w:rPr>
        <w:rFonts w:ascii="Calibri" w:cs="Calibri" w:eastAsia="Calibri" w:hAnsi="Calibri"/>
        <w:color w:val="4A5680"/>
        <w:sz w:val="16"/>
        <w:szCs w:val="16"/>
      </w:rPr>
      <w:t xml:space="preserve">	Page </w:t>
    </w:r>
    <w:r>
      <w:rPr>
        <w:rFonts w:ascii="Calibri" w:cs="Calibri" w:eastAsia="Calibri" w:hAnsi="Calibri"/>
        <w:color w:val="4A5680"/>
        <w:sz w:val="16"/>
        <w:szCs w:val="16"/>
      </w:rPr>
      <w:fldChar w:fldCharType="begin"/>
      <w:instrText xml:space="preserve">PAGE</w:instrText>
      <w:fldChar w:fldCharType="separate"/>
      <w:fldChar w:fldCharType="end"/>
    </w:r>
  </w:p>
  <w:p>
    <w:pPr>
      <w:pStyle w:val="Footer"/>
      <w:jc w:val="center"/>
    </w:pPr>
    <w:r>
      <w:rPr>
        <w:color w:val="4A5680"/>
        <w:sz w:val="13"/>
      </w:rPr>
      <w:t xml:space="preserve">Free inside your organization; client use requires a license: modernidentityoperatingmodel.com/license  ·  Provided as is, without warranty. Not legal or regulatory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D2E0" w:sz="4" w:space="4"/>
      </w:pBdr>
      <w:tabs>
        <w:tab w:val="right" w:pos="9360"/>
      </w:tabs>
      <w:jc w:val="right"/>
    </w:pPr>
    <w:r>
      <w:rPr>
        <w:rFonts w:ascii="Calibri" w:cs="Calibri" w:eastAsia="Calibri" w:hAnsi="Calibri"/>
        <w:color w:val="4A5680"/>
        <w:sz w:val="18"/>
        <w:szCs w:val="18"/>
      </w:rPr>
      <w:t xml:space="preserve">The Modern Identity Operating Model</w:t>
    </w:r>
    <w:r>
      <w:rPr>
        <w:rFonts w:ascii="Calibri" w:cs="Calibri" w:eastAsia="Calibri" w:hAnsi="Calibri"/>
        <w:b/>
        <w:bCs/>
        <w:color w:val="1B2A55"/>
        <w:sz w:val="18"/>
        <w:szCs w:val="18"/>
      </w:rPr>
      <w:t xml:space="preserve">	Communication Plan Template</w:t>
    </w:r>
    <w:r>
      <w:drawing>
        <wp:inline xmlns:a="http://schemas.openxmlformats.org/drawingml/2006/main" xmlns:pic="http://schemas.openxmlformats.org/drawingml/2006/picture">
          <wp:extent cx="355600" cy="355600"/>
          <wp:docPr id="1" name="Picture 1"/>
          <wp:cNvGraphicFramePr>
            <a:graphicFrameLocks noChangeAspect="1"/>
          </wp:cNvGraphicFramePr>
          <a:graphic>
            <a:graphicData uri="http://schemas.openxmlformats.org/drawingml/2006/picture">
              <pic:pic>
                <pic:nvPicPr>
                  <pic:cNvPr id="0" name="logo-mark-1024.png"/>
                  <pic:cNvPicPr/>
                </pic:nvPicPr>
                <pic:blipFill>
                  <a:blip r:embed="rId1"/>
                  <a:stretch>
                    <a:fillRect/>
                  </a:stretch>
                </pic:blipFill>
                <pic:spPr>
                  <a:xfrm>
                    <a:off x="0" y="0"/>
                    <a:ext cx="355600" cy="355600"/>
                  </a:xfrm>
                  <a:prstGeom prst="rec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Plan Template</dc:title>
  <dc:subject>Companion to The Modern Identity Operating Model</dc:subject>
  <dc:creator>Becky Sandberg</dc:creator>
  <cp:lastModifiedBy>Becky Sandberg</cp:lastModifiedBy>
  <cp:keywords>identity, IAM, operating model</cp:keywords>
  <dcterms:created xsi:type="dcterms:W3CDTF">2026-08-12T17:44:58.818Z</dcterms:created>
  <dcterms:modified xsi:type="dcterms:W3CDTF">2026-08-12T17:44:58.826Z</dcterms:modified>
</cp:coreProperties>
</file>

<file path=docProps/custom.xml><?xml version="1.0" encoding="utf-8"?>
<Properties xmlns="http://schemas.openxmlformats.org/officeDocument/2006/custom-properties" xmlns:vt="http://schemas.openxmlformats.org/officeDocument/2006/docPropsVTypes"/>
</file>