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Lifecycle Map</w:t>
      </w:r>
    </w:p>
    <w:p>
      <w:r>
        <w:rPr>
          <w:i/>
          <w:color w:val="4A5680"/>
          <w:sz w:val="24"/>
        </w:rPr>
        <w:t>How each kind of identity begins, changes, and ends.</w:t>
      </w:r>
    </w:p>
    <w:p>
      <w:r>
        <w:rPr>
          <w:i/>
          <w:color w:val="4A5680"/>
          <w:sz w:val="17"/>
        </w:rPr>
        <w:t>Adapted from Chapter 24 of The Modern Identity Operating Model by Becky Sandberg. © 2026 Becky Sandberg.</w:t>
      </w:r>
    </w:p>
    <w:p/>
    <w:p>
      <w:pPr>
        <w:pStyle w:val="Heading1"/>
      </w:pPr>
      <w:r>
        <w:rPr>
          <w:color w:val="1B2A55"/>
        </w:rPr>
        <w:t>What this is</w:t>
      </w:r>
    </w:p>
    <w:p>
      <w:r>
        <w:t>A lifecycle map turns abstract lifecycle discussion into a visible operating flow.</w:t>
      </w:r>
    </w:p>
    <w:p>
      <w:r>
        <w:t>Many lifecycle failures happen because a team assumes one model fits every identity type. Mapping each type separately is where hidden drift usually becomes visible for the first time.</w:t>
      </w:r>
    </w:p>
    <w:p>
      <w:pPr>
        <w:pStyle w:val="Heading1"/>
      </w:pPr>
      <w:r>
        <w:rPr>
          <w:color w:val="1B2A55"/>
        </w:rPr>
        <w:t>When to reach for it</w:t>
      </w:r>
    </w:p>
    <w:p>
      <w:r>
        <w:t>Reach for it when joiners, movers, and leavers are handled inconsistently, when nonhuman or AI identities have no clear end, or when access lingers after the reason for it is gone.</w:t>
      </w:r>
    </w:p>
    <w:p>
      <w:r>
        <w:t>Fill one block per identity type. Map the types that behave differently from each other.</w:t>
      </w:r>
    </w:p>
    <w:p>
      <w:pPr>
        <w:pStyle w:val="Heading1"/>
      </w:pPr>
      <w:r>
        <w:rPr>
          <w:color w:val="1B2A55"/>
        </w:rPr>
        <w:t>How to use it</w:t>
      </w:r>
    </w:p>
    <w:p>
      <w:pPr>
        <w:pStyle w:val="ListBullet"/>
      </w:pPr>
      <w:r>
        <w:t>Pick one identity type and fill a block for it.</w:t>
      </w:r>
    </w:p>
    <w:p>
      <w:pPr>
        <w:pStyle w:val="ListBullet"/>
      </w:pPr>
      <w:r>
        <w:t>Trace the real flow, not the intended one. Write down what actually happens today.</w:t>
      </w:r>
    </w:p>
    <w:p>
      <w:pPr>
        <w:pStyle w:val="ListBullet"/>
      </w:pPr>
      <w:r>
        <w:t>Pay close attention to the retirement trigger and the reconciliation step. That is where drift hides.</w:t>
      </w:r>
    </w:p>
    <w:p>
      <w:pPr>
        <w:pStyle w:val="ListBullet"/>
      </w:pPr>
      <w:r>
        <w:t>Repeat for each identity type that behaves differently.</w:t>
      </w:r>
    </w:p>
    <w:p>
      <w:pPr>
        <w:pStyle w:val="Heading1"/>
      </w:pPr>
      <w:r>
        <w:rPr>
          <w:color w:val="1B2A55"/>
        </w:rPr>
        <w:t>Identity types to map separately</w:t>
      </w:r>
    </w:p>
    <w:p>
      <w:r>
        <w:t>Most organizations need a separate block for each of these, because their lifecycles do not match.</w:t>
      </w:r>
    </w:p>
    <w:p>
      <w:pPr>
        <w:pStyle w:val="ListBullet"/>
      </w:pPr>
      <w:r>
        <w:t>Employee</w:t>
      </w:r>
    </w:p>
    <w:p>
      <w:pPr>
        <w:pStyle w:val="ListBullet"/>
      </w:pPr>
      <w:r>
        <w:t>Non-employee (contractors, consultants, vendors, partners)</w:t>
      </w:r>
    </w:p>
    <w:p>
      <w:pPr>
        <w:pStyle w:val="ListBullet"/>
      </w:pPr>
      <w:r>
        <w:t>Customer</w:t>
      </w:r>
    </w:p>
    <w:p>
      <w:pPr>
        <w:pStyle w:val="ListBullet"/>
      </w:pPr>
      <w:r>
        <w:t>Service account</w:t>
      </w:r>
    </w:p>
    <w:p>
      <w:pPr>
        <w:pStyle w:val="ListBullet"/>
      </w:pPr>
      <w:r>
        <w:t>Workload identity</w:t>
      </w:r>
    </w:p>
    <w:p>
      <w:pPr>
        <w:pStyle w:val="ListBullet"/>
      </w:pPr>
      <w:r>
        <w:t>API client</w:t>
      </w:r>
    </w:p>
    <w:p>
      <w:pPr>
        <w:pStyle w:val="ListBullet"/>
      </w:pPr>
      <w:r>
        <w:t>Bots and automation</w:t>
      </w:r>
    </w:p>
    <w:p>
      <w:pPr>
        <w:pStyle w:val="ListBullet"/>
      </w:pPr>
      <w:r>
        <w:t>AI systems</w:t>
      </w:r>
    </w:p>
    <w:p>
      <w:pPr>
        <w:pStyle w:val="ListBullet"/>
      </w:pPr>
      <w:r>
        <w:t>Agentic AI</w:t>
      </w:r>
    </w:p>
    <w:p>
      <w:pPr>
        <w:pStyle w:val="Heading1"/>
      </w:pPr>
      <w:r>
        <w:rPr>
          <w:color w:val="1B2A55"/>
        </w:rPr>
        <w:t>A worked example</w:t>
      </w:r>
    </w:p>
    <w:p>
      <w:r>
        <w:t>*One block, filled in for a contractor identity. Trace the flow your organization actually follows.*</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Identity type</w:t>
            </w:r>
          </w:p>
        </w:tc>
        <w:tc>
          <w:tcPr>
            <w:tcW w:type="dxa" w:w="4680"/>
          </w:tcPr>
          <w:p>
            <w:r>
              <w:t>Non-employee (contractor)</w:t>
            </w:r>
          </w:p>
        </w:tc>
      </w:tr>
      <w:tr>
        <w:tc>
          <w:tcPr>
            <w:tcW w:type="dxa" w:w="4680"/>
          </w:tcPr>
          <w:p>
            <w:r/>
            <w:r>
              <w:rPr>
                <w:b/>
              </w:rPr>
              <w:t>Authoritative source</w:t>
            </w:r>
          </w:p>
        </w:tc>
        <w:tc>
          <w:tcPr>
            <w:tcW w:type="dxa" w:w="4680"/>
          </w:tcPr>
          <w:p>
            <w:r>
              <w:t>Vendor management system, with a sponsor of record</w:t>
            </w:r>
          </w:p>
        </w:tc>
      </w:tr>
      <w:tr>
        <w:tc>
          <w:tcPr>
            <w:tcW w:type="dxa" w:w="4680"/>
          </w:tcPr>
          <w:p>
            <w:r/>
            <w:r>
              <w:rPr>
                <w:b/>
              </w:rPr>
              <w:t>Creation trigger</w:t>
            </w:r>
          </w:p>
        </w:tc>
        <w:tc>
          <w:tcPr>
            <w:tcW w:type="dxa" w:w="4680"/>
          </w:tcPr>
          <w:p>
            <w:r>
              <w:t>Approved contract and a named sponsor</w:t>
            </w:r>
          </w:p>
        </w:tc>
      </w:tr>
      <w:tr>
        <w:tc>
          <w:tcPr>
            <w:tcW w:type="dxa" w:w="4680"/>
          </w:tcPr>
          <w:p>
            <w:r/>
            <w:r>
              <w:rPr>
                <w:b/>
              </w:rPr>
              <w:t>Change triggers</w:t>
            </w:r>
          </w:p>
        </w:tc>
        <w:tc>
          <w:tcPr>
            <w:tcW w:type="dxa" w:w="4680"/>
          </w:tcPr>
          <w:p>
            <w:r>
              <w:t>Contract amendment, change of sponsor, scope change</w:t>
            </w:r>
          </w:p>
        </w:tc>
      </w:tr>
      <w:tr>
        <w:tc>
          <w:tcPr>
            <w:tcW w:type="dxa" w:w="4680"/>
          </w:tcPr>
          <w:p>
            <w:r/>
            <w:r>
              <w:rPr>
                <w:b/>
              </w:rPr>
              <w:t>Retirement trigger</w:t>
            </w:r>
          </w:p>
        </w:tc>
        <w:tc>
          <w:tcPr>
            <w:tcW w:type="dxa" w:w="4680"/>
          </w:tcPr>
          <w:p>
            <w:r>
              <w:t>Contract end date, or sponsor confirmation of early exit</w:t>
            </w:r>
          </w:p>
        </w:tc>
      </w:tr>
      <w:tr>
        <w:tc>
          <w:tcPr>
            <w:tcW w:type="dxa" w:w="4680"/>
          </w:tcPr>
          <w:p>
            <w:r/>
            <w:r>
              <w:rPr>
                <w:b/>
              </w:rPr>
              <w:t>Approvals required</w:t>
            </w:r>
          </w:p>
        </w:tc>
        <w:tc>
          <w:tcPr>
            <w:tcW w:type="dxa" w:w="4680"/>
          </w:tcPr>
          <w:p>
            <w:r>
              <w:t>Sponsor and IAM lead at creation; sponsor at extension</w:t>
            </w:r>
          </w:p>
        </w:tc>
      </w:tr>
      <w:tr>
        <w:tc>
          <w:tcPr>
            <w:tcW w:type="dxa" w:w="4680"/>
          </w:tcPr>
          <w:p>
            <w:r/>
            <w:r>
              <w:rPr>
                <w:b/>
              </w:rPr>
              <w:t>Access impact</w:t>
            </w:r>
          </w:p>
        </w:tc>
        <w:tc>
          <w:tcPr>
            <w:tcW w:type="dxa" w:w="4680"/>
          </w:tcPr>
          <w:p>
            <w:r>
              <w:t>Baseline contractor access only; anything more requires its own approval</w:t>
            </w:r>
          </w:p>
        </w:tc>
      </w:tr>
      <w:tr>
        <w:tc>
          <w:tcPr>
            <w:tcW w:type="dxa" w:w="4680"/>
          </w:tcPr>
          <w:p>
            <w:r/>
            <w:r>
              <w:rPr>
                <w:b/>
              </w:rPr>
              <w:t>Credential impact</w:t>
            </w:r>
          </w:p>
        </w:tc>
        <w:tc>
          <w:tcPr>
            <w:tcW w:type="dxa" w:w="4680"/>
          </w:tcPr>
          <w:p>
            <w:r>
              <w:t>Time-bound credential tied to the contract end date</w:t>
            </w:r>
          </w:p>
        </w:tc>
      </w:tr>
      <w:tr>
        <w:tc>
          <w:tcPr>
            <w:tcW w:type="dxa" w:w="4680"/>
          </w:tcPr>
          <w:p>
            <w:r/>
            <w:r>
              <w:rPr>
                <w:b/>
              </w:rPr>
              <w:t>Reconciliation step</w:t>
            </w:r>
          </w:p>
        </w:tc>
        <w:tc>
          <w:tcPr>
            <w:tcW w:type="dxa" w:w="4680"/>
          </w:tcPr>
          <w:p>
            <w:r>
              <w:t>Monthly comparison of active contractor identities against active contracts</w:t>
            </w:r>
          </w:p>
        </w:tc>
      </w:tr>
      <w:tr>
        <w:tc>
          <w:tcPr>
            <w:tcW w:type="dxa" w:w="4680"/>
          </w:tcPr>
          <w:p>
            <w:r/>
            <w:r>
              <w:rPr>
                <w:b/>
              </w:rPr>
              <w:t>Owner</w:t>
            </w:r>
          </w:p>
        </w:tc>
        <w:tc>
          <w:tcPr>
            <w:tcW w:type="dxa" w:w="4680"/>
          </w:tcPr>
          <w:p>
            <w:r>
              <w:t>Sponsor of record, with IAM lead as backup</w:t>
            </w:r>
          </w:p>
        </w:tc>
      </w:tr>
    </w:tbl>
    <w:p/>
    <w:p>
      <w:pPr>
        <w:pStyle w:val="Heading1"/>
      </w:pPr>
      <w:r>
        <w:rPr>
          <w:color w:val="1B2A55"/>
        </w:rPr>
        <w:t>The blank form</w:t>
      </w:r>
    </w:p>
    <w:p>
      <w:r>
        <w:t>*Fill a block for one identity type. Copy this block for each additional type.*</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Identity type</w:t>
            </w:r>
          </w:p>
        </w:tc>
        <w:tc>
          <w:tcPr>
            <w:tcW w:type="dxa" w:w="4680"/>
          </w:tcPr>
          <w:p>
            <w:r/>
          </w:p>
        </w:tc>
      </w:tr>
      <w:tr>
        <w:tc>
          <w:tcPr>
            <w:tcW w:type="dxa" w:w="4680"/>
          </w:tcPr>
          <w:p>
            <w:r/>
            <w:r>
              <w:rPr>
                <w:b/>
              </w:rPr>
              <w:t>Authoritative source</w:t>
            </w:r>
          </w:p>
        </w:tc>
        <w:tc>
          <w:tcPr>
            <w:tcW w:type="dxa" w:w="4680"/>
          </w:tcPr>
          <w:p>
            <w:r/>
          </w:p>
        </w:tc>
      </w:tr>
      <w:tr>
        <w:tc>
          <w:tcPr>
            <w:tcW w:type="dxa" w:w="4680"/>
          </w:tcPr>
          <w:p>
            <w:r/>
            <w:r>
              <w:rPr>
                <w:b/>
              </w:rPr>
              <w:t>Creation trigger</w:t>
            </w:r>
          </w:p>
        </w:tc>
        <w:tc>
          <w:tcPr>
            <w:tcW w:type="dxa" w:w="4680"/>
          </w:tcPr>
          <w:p>
            <w:r/>
          </w:p>
        </w:tc>
      </w:tr>
      <w:tr>
        <w:tc>
          <w:tcPr>
            <w:tcW w:type="dxa" w:w="4680"/>
          </w:tcPr>
          <w:p>
            <w:r/>
            <w:r>
              <w:rPr>
                <w:b/>
              </w:rPr>
              <w:t>Change triggers</w:t>
            </w:r>
          </w:p>
        </w:tc>
        <w:tc>
          <w:tcPr>
            <w:tcW w:type="dxa" w:w="4680"/>
          </w:tcPr>
          <w:p>
            <w:r/>
          </w:p>
        </w:tc>
      </w:tr>
      <w:tr>
        <w:tc>
          <w:tcPr>
            <w:tcW w:type="dxa" w:w="4680"/>
          </w:tcPr>
          <w:p>
            <w:r/>
            <w:r>
              <w:rPr>
                <w:b/>
              </w:rPr>
              <w:t>Retirement trigger</w:t>
            </w:r>
          </w:p>
        </w:tc>
        <w:tc>
          <w:tcPr>
            <w:tcW w:type="dxa" w:w="4680"/>
          </w:tcPr>
          <w:p>
            <w:r/>
          </w:p>
        </w:tc>
      </w:tr>
      <w:tr>
        <w:tc>
          <w:tcPr>
            <w:tcW w:type="dxa" w:w="4680"/>
          </w:tcPr>
          <w:p>
            <w:r/>
            <w:r>
              <w:rPr>
                <w:b/>
              </w:rPr>
              <w:t>Approvals required</w:t>
            </w:r>
          </w:p>
        </w:tc>
        <w:tc>
          <w:tcPr>
            <w:tcW w:type="dxa" w:w="4680"/>
          </w:tcPr>
          <w:p>
            <w:r/>
          </w:p>
        </w:tc>
      </w:tr>
      <w:tr>
        <w:tc>
          <w:tcPr>
            <w:tcW w:type="dxa" w:w="4680"/>
          </w:tcPr>
          <w:p>
            <w:r/>
            <w:r>
              <w:rPr>
                <w:b/>
              </w:rPr>
              <w:t>Access impact</w:t>
            </w:r>
          </w:p>
        </w:tc>
        <w:tc>
          <w:tcPr>
            <w:tcW w:type="dxa" w:w="4680"/>
          </w:tcPr>
          <w:p>
            <w:r/>
          </w:p>
        </w:tc>
      </w:tr>
      <w:tr>
        <w:tc>
          <w:tcPr>
            <w:tcW w:type="dxa" w:w="4680"/>
          </w:tcPr>
          <w:p>
            <w:r/>
            <w:r>
              <w:rPr>
                <w:b/>
              </w:rPr>
              <w:t>Credential impact</w:t>
            </w:r>
          </w:p>
        </w:tc>
        <w:tc>
          <w:tcPr>
            <w:tcW w:type="dxa" w:w="4680"/>
          </w:tcPr>
          <w:p>
            <w:r/>
          </w:p>
        </w:tc>
      </w:tr>
      <w:tr>
        <w:tc>
          <w:tcPr>
            <w:tcW w:type="dxa" w:w="4680"/>
          </w:tcPr>
          <w:p>
            <w:r/>
            <w:r>
              <w:rPr>
                <w:b/>
              </w:rPr>
              <w:t>Reconciliation step</w:t>
            </w:r>
          </w:p>
        </w:tc>
        <w:tc>
          <w:tcPr>
            <w:tcW w:type="dxa" w:w="4680"/>
          </w:tcPr>
          <w:p>
            <w:r/>
          </w:p>
        </w:tc>
      </w:tr>
      <w:tr>
        <w:tc>
          <w:tcPr>
            <w:tcW w:type="dxa" w:w="4680"/>
          </w:tcPr>
          <w:p>
            <w:r/>
            <w:r>
              <w:rPr>
                <w:b/>
              </w:rPr>
              <w:t>Owner</w:t>
            </w:r>
          </w:p>
        </w:tc>
        <w:tc>
          <w:tcPr>
            <w:tcW w:type="dxa" w:w="4680"/>
          </w:tcPr>
          <w:p>
            <w:r/>
          </w:p>
        </w:tc>
      </w:tr>
    </w:tbl>
    <w:p/>
    <w:p>
      <w:pPr>
        <w:pStyle w:val="Heading1"/>
      </w:pPr>
      <w:r>
        <w:rPr>
          <w:color w:val="1B2A55"/>
        </w:rPr>
        <w:t>Field guidance</w:t>
      </w:r>
    </w:p>
    <w:p>
      <w:r>
        <w:t>*What belongs in each field, and why it earns its place.*</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Field</w:t>
            </w:r>
          </w:p>
        </w:tc>
        <w:tc>
          <w:tcPr>
            <w:tcW w:type="dxa" w:w="4680"/>
          </w:tcPr>
          <w:p>
            <w:r/>
            <w:r>
              <w:rPr>
                <w:b/>
              </w:rPr>
              <w:t>What goes here</w:t>
            </w:r>
          </w:p>
        </w:tc>
      </w:tr>
      <w:tr>
        <w:tc>
          <w:tcPr>
            <w:tcW w:type="dxa" w:w="4680"/>
          </w:tcPr>
          <w:p>
            <w:r/>
            <w:r>
              <w:rPr>
                <w:b/>
              </w:rPr>
              <w:t>Identity type</w:t>
            </w:r>
          </w:p>
        </w:tc>
        <w:tc>
          <w:tcPr>
            <w:tcW w:type="dxa" w:w="4680"/>
          </w:tcPr>
          <w:p>
            <w:r>
              <w:t>The single identity type this block describes. One type per block.</w:t>
            </w:r>
          </w:p>
        </w:tc>
      </w:tr>
      <w:tr>
        <w:tc>
          <w:tcPr>
            <w:tcW w:type="dxa" w:w="4680"/>
          </w:tcPr>
          <w:p>
            <w:r/>
            <w:r>
              <w:rPr>
                <w:b/>
              </w:rPr>
              <w:t>Authoritative source</w:t>
            </w:r>
          </w:p>
        </w:tc>
        <w:tc>
          <w:tcPr>
            <w:tcW w:type="dxa" w:w="4680"/>
          </w:tcPr>
          <w:p>
            <w:r>
              <w:t>The system of record that says this identity should exist. If there is none, that is the first gap to close.</w:t>
            </w:r>
          </w:p>
        </w:tc>
      </w:tr>
      <w:tr>
        <w:tc>
          <w:tcPr>
            <w:tcW w:type="dxa" w:w="4680"/>
          </w:tcPr>
          <w:p>
            <w:r/>
            <w:r>
              <w:rPr>
                <w:b/>
              </w:rPr>
              <w:t>Creation trigger</w:t>
            </w:r>
          </w:p>
        </w:tc>
        <w:tc>
          <w:tcPr>
            <w:tcW w:type="dxa" w:w="4680"/>
          </w:tcPr>
          <w:p>
            <w:r>
              <w:t>The event that should cause the identity to be created. Creation should follow the trigger, not a help-desk request.</w:t>
            </w:r>
          </w:p>
        </w:tc>
      </w:tr>
      <w:tr>
        <w:tc>
          <w:tcPr>
            <w:tcW w:type="dxa" w:w="4680"/>
          </w:tcPr>
          <w:p>
            <w:r/>
            <w:r>
              <w:rPr>
                <w:b/>
              </w:rPr>
              <w:t>Change triggers</w:t>
            </w:r>
          </w:p>
        </w:tc>
        <w:tc>
          <w:tcPr>
            <w:tcW w:type="dxa" w:w="4680"/>
          </w:tcPr>
          <w:p>
            <w:r>
              <w:t>The events that should change the identity or its access. Naming them prevents silent changes.</w:t>
            </w:r>
          </w:p>
        </w:tc>
      </w:tr>
      <w:tr>
        <w:tc>
          <w:tcPr>
            <w:tcW w:type="dxa" w:w="4680"/>
          </w:tcPr>
          <w:p>
            <w:r/>
            <w:r>
              <w:rPr>
                <w:b/>
              </w:rPr>
              <w:t>Retirement trigger</w:t>
            </w:r>
          </w:p>
        </w:tc>
        <w:tc>
          <w:tcPr>
            <w:tcW w:type="dxa" w:w="4680"/>
          </w:tcPr>
          <w:p>
            <w:r>
              <w:t>The event that should end the identity. Missing or vague retirement triggers are the most common source of lingering access.</w:t>
            </w:r>
          </w:p>
        </w:tc>
      </w:tr>
      <w:tr>
        <w:tc>
          <w:tcPr>
            <w:tcW w:type="dxa" w:w="4680"/>
          </w:tcPr>
          <w:p>
            <w:r/>
            <w:r>
              <w:rPr>
                <w:b/>
              </w:rPr>
              <w:t>Approvals required</w:t>
            </w:r>
          </w:p>
        </w:tc>
        <w:tc>
          <w:tcPr>
            <w:tcW w:type="dxa" w:w="4680"/>
          </w:tcPr>
          <w:p>
            <w:r>
              <w:t>Who must approve creation, change, and retirement. Tie this to your decision-rights matrix.</w:t>
            </w:r>
          </w:p>
        </w:tc>
      </w:tr>
      <w:tr>
        <w:tc>
          <w:tcPr>
            <w:tcW w:type="dxa" w:w="4680"/>
          </w:tcPr>
          <w:p>
            <w:r/>
            <w:r>
              <w:rPr>
                <w:b/>
              </w:rPr>
              <w:t>Access impact</w:t>
            </w:r>
          </w:p>
        </w:tc>
        <w:tc>
          <w:tcPr>
            <w:tcW w:type="dxa" w:w="4680"/>
          </w:tcPr>
          <w:p>
            <w:r>
              <w:t>What access this identity gets by default, and what requires a separate request.</w:t>
            </w:r>
          </w:p>
        </w:tc>
      </w:tr>
      <w:tr>
        <w:tc>
          <w:tcPr>
            <w:tcW w:type="dxa" w:w="4680"/>
          </w:tcPr>
          <w:p>
            <w:r/>
            <w:r>
              <w:rPr>
                <w:b/>
              </w:rPr>
              <w:t>Credential impact</w:t>
            </w:r>
          </w:p>
        </w:tc>
        <w:tc>
          <w:tcPr>
            <w:tcW w:type="dxa" w:w="4680"/>
          </w:tcPr>
          <w:p>
            <w:r>
              <w:t>What credential the identity carries, and how its life is bound to the identity's life.</w:t>
            </w:r>
          </w:p>
        </w:tc>
      </w:tr>
      <w:tr>
        <w:tc>
          <w:tcPr>
            <w:tcW w:type="dxa" w:w="4680"/>
          </w:tcPr>
          <w:p>
            <w:r/>
            <w:r>
              <w:rPr>
                <w:b/>
              </w:rPr>
              <w:t>Reconciliation step</w:t>
            </w:r>
          </w:p>
        </w:tc>
        <w:tc>
          <w:tcPr>
            <w:tcW w:type="dxa" w:w="4680"/>
          </w:tcPr>
          <w:p>
            <w:r>
              <w:t>The recurring check that confirms reality matches the record. This is what catches drift between reviews.</w:t>
            </w:r>
          </w:p>
        </w:tc>
      </w:tr>
      <w:tr>
        <w:tc>
          <w:tcPr>
            <w:tcW w:type="dxa" w:w="4680"/>
          </w:tcPr>
          <w:p>
            <w:r/>
            <w:r>
              <w:rPr>
                <w:b/>
              </w:rPr>
              <w:t>Owner</w:t>
            </w:r>
          </w:p>
        </w:tc>
        <w:tc>
          <w:tcPr>
            <w:tcW w:type="dxa" w:w="4680"/>
          </w:tcPr>
          <w:p>
            <w:r>
              <w:t>The role accountable for this identity type's lifecycle holding together.</w:t>
            </w:r>
          </w:p>
        </w:tc>
      </w:tr>
    </w:tbl>
    <w:p/>
    <w:p>
      <w:r>
        <w:t>From The Modern Identity Operating Model by Becky Sandberg.  © 2026 Becky Sandberg.</w:t>
        <w:tab/>
        <w:t>Page</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Lifecycle Map</dc:title>
  <dc:subject>Companion to The Modern Identity Operating Model</dc:subject>
  <dc:creator>Becky Sandberg</dc:creator>
  <cp:lastModifiedBy>Becky Sandberg</cp:lastModifiedBy>
  <cp:keywords>identity, IAM, operating model</cp:keywords>
  <dcterms:created xsi:type="dcterms:W3CDTF">2013-12-23T23:15:00Z</dcterms:created>
  <dcterms:modified xsi:type="dcterms:W3CDTF">2013-12-23T23:15:00Z</dcterms:modified>
</cp:coreProperties>
</file>