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aps/>
          <w:color w:val="4A5680"/>
          <w:sz w:val="17"/>
        </w:rPr>
        <w:t>THE MODERN IDENTITY OPERATING MODEL  ·  COMPANION WORKBOOK</w:t>
      </w:r>
    </w:p>
    <w:p>
      <w:r>
        <w:rPr>
          <w:b/>
          <w:color w:val="1B2A55"/>
          <w:sz w:val="48"/>
        </w:rPr>
        <w:t>Ninety-Day Starter Plan</w:t>
      </w:r>
    </w:p>
    <w:p>
      <w:r>
        <w:rPr>
          <w:i/>
          <w:color w:val="4A5680"/>
          <w:sz w:val="17"/>
        </w:rPr>
        <w:t>Adapted from "A Ninety-Day Starting Point" (closing chapter) of The Modern Identity Operating Model.</w:t>
      </w:r>
    </w:p>
    <w:p/>
    <w:p>
      <w:r>
        <w:rPr>
          <w:i/>
          <w:color w:val="4A5680"/>
          <w:sz w:val="24"/>
        </w:rPr>
        <w:t>Move from reading to visible structural progress in ninety days.</w:t>
      </w:r>
    </w:p>
    <w:p>
      <w:r>
        <w:t>If you do not know where to begin, begin small and structurally. Do not try to transform everything at once. Create proof that the model can work in one real place, then expand. Fill in an owner and a status for each item, and let one finished result argue for the next.</w:t>
      </w:r>
    </w:p>
    <w:p>
      <w:pPr>
        <w:pStyle w:val="Heading1"/>
      </w:pPr>
      <w:r>
        <w:t>How to use it</w:t>
      </w:r>
    </w:p>
    <w:p>
      <w:r>
        <w:rPr>
          <w:b w:val="0"/>
          <w:i w:val="0"/>
          <w:sz w:val="22"/>
        </w:rPr>
        <w:t>Work the thirty, sixty, and ninety day sections in order. Each action needs a named owner and an honest status, not a hopeful one. Not started is a fine answer this early; it only becomes a problem if it is still the answer next quarter.</w:t>
      </w:r>
    </w:p>
    <w:p>
      <w:pPr>
        <w:pStyle w:val="Heading1"/>
      </w:pPr>
      <w:r>
        <w:t>A worked example</w:t>
      </w:r>
    </w:p>
    <w:p>
      <w:r>
        <w:rPr>
          <w:b w:val="0"/>
          <w:i/>
          <w:color w:val="4A5680"/>
          <w:sz w:val="21"/>
        </w:rPr>
        <w:t>One organization's honest snapshot partway through its first ninety days. Replace the owners and status with your own.</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tcPr>
          <w:p>
            <w:r>
              <w:t>Action</w:t>
            </w:r>
          </w:p>
        </w:tc>
        <w:tc>
          <w:tcPr>
            <w:tcW w:type="dxa" w:w="3120"/>
          </w:tcPr>
          <w:p>
            <w:r>
              <w:t>Owner</w:t>
            </w:r>
          </w:p>
        </w:tc>
        <w:tc>
          <w:tcPr>
            <w:tcW w:type="dxa" w:w="3120"/>
          </w:tcPr>
          <w:p>
            <w:r>
              <w:t>Status</w:t>
            </w:r>
          </w:p>
        </w:tc>
      </w:tr>
      <w:tr>
        <w:tc>
          <w:tcPr>
            <w:tcW w:type="dxa" w:w="9360"/>
            <w:gridSpan w:val="3"/>
          </w:tcPr>
          <w:p>
            <w:r>
              <w:rPr>
                <w:b/>
                <w:color w:val="1B2A55"/>
                <w:sz w:val="19"/>
              </w:rPr>
              <w:t>IN THE NEXT 30 DAYS</w:t>
            </w:r>
          </w:p>
        </w:tc>
      </w:tr>
      <w:tr>
        <w:tc>
          <w:tcPr>
            <w:tcW w:type="dxa" w:w="3120"/>
          </w:tcPr>
          <w:p>
            <w:r>
              <w:rPr>
                <w:sz w:val="21"/>
              </w:rPr>
              <w:t>Map the major identity types in your environment</w:t>
            </w:r>
          </w:p>
        </w:tc>
        <w:tc>
          <w:tcPr>
            <w:tcW w:type="dxa" w:w="3120"/>
          </w:tcPr>
          <w:p>
            <w:r>
              <w:rPr>
                <w:sz w:val="21"/>
              </w:rPr>
              <w:t>Jordan Reyes, IAM Lead</w:t>
            </w:r>
          </w:p>
        </w:tc>
        <w:tc>
          <w:tcPr>
            <w:tcW w:type="dxa" w:w="3120"/>
          </w:tcPr>
          <w:p>
            <w:r>
              <w:rPr>
                <w:sz w:val="21"/>
              </w:rPr>
              <w:t>Done</w:t>
            </w:r>
          </w:p>
        </w:tc>
      </w:tr>
      <w:tr>
        <w:tc>
          <w:tcPr>
            <w:tcW w:type="dxa" w:w="3120"/>
          </w:tcPr>
          <w:p>
            <w:r>
              <w:rPr>
                <w:sz w:val="21"/>
              </w:rPr>
              <w:t>Identify your top ownership gaps</w:t>
            </w:r>
          </w:p>
        </w:tc>
        <w:tc>
          <w:tcPr>
            <w:tcW w:type="dxa" w:w="3120"/>
          </w:tcPr>
          <w:p>
            <w:r>
              <w:rPr>
                <w:sz w:val="21"/>
              </w:rPr>
              <w:t>Jordan Reyes, IAM Lead</w:t>
            </w:r>
          </w:p>
        </w:tc>
        <w:tc>
          <w:tcPr>
            <w:tcW w:type="dxa" w:w="3120"/>
          </w:tcPr>
          <w:p>
            <w:r>
              <w:rPr>
                <w:sz w:val="21"/>
              </w:rPr>
              <w:t>Done</w:t>
            </w:r>
          </w:p>
        </w:tc>
      </w:tr>
      <w:tr>
        <w:tc>
          <w:tcPr>
            <w:tcW w:type="dxa" w:w="3120"/>
          </w:tcPr>
          <w:p>
            <w:r>
              <w:rPr>
                <w:sz w:val="21"/>
              </w:rPr>
              <w:t>Identify your most visible lifecycle drift</w:t>
            </w:r>
          </w:p>
        </w:tc>
        <w:tc>
          <w:tcPr>
            <w:tcW w:type="dxa" w:w="3120"/>
          </w:tcPr>
          <w:p>
            <w:r>
              <w:rPr>
                <w:sz w:val="21"/>
              </w:rPr>
              <w:t>Morgan Blake, IAM Operations</w:t>
            </w:r>
          </w:p>
        </w:tc>
        <w:tc>
          <w:tcPr>
            <w:tcW w:type="dxa" w:w="3120"/>
          </w:tcPr>
          <w:p>
            <w:r>
              <w:rPr>
                <w:sz w:val="21"/>
              </w:rPr>
              <w:t>Done</w:t>
            </w:r>
          </w:p>
        </w:tc>
      </w:tr>
      <w:tr>
        <w:tc>
          <w:tcPr>
            <w:tcW w:type="dxa" w:w="3120"/>
          </w:tcPr>
          <w:p>
            <w:r>
              <w:rPr>
                <w:sz w:val="21"/>
              </w:rPr>
              <w:t>Inventory the most important nonhuman credentials</w:t>
            </w:r>
          </w:p>
        </w:tc>
        <w:tc>
          <w:tcPr>
            <w:tcW w:type="dxa" w:w="3120"/>
          </w:tcPr>
          <w:p>
            <w:r>
              <w:rPr>
                <w:sz w:val="21"/>
              </w:rPr>
              <w:t>Sam Okafor, Technology Lead</w:t>
            </w:r>
          </w:p>
        </w:tc>
        <w:tc>
          <w:tcPr>
            <w:tcW w:type="dxa" w:w="3120"/>
          </w:tcPr>
          <w:p>
            <w:r>
              <w:rPr>
                <w:sz w:val="21"/>
              </w:rPr>
              <w:t>In progress</w:t>
            </w:r>
          </w:p>
        </w:tc>
      </w:tr>
      <w:tr>
        <w:tc>
          <w:tcPr>
            <w:tcW w:type="dxa" w:w="3120"/>
          </w:tcPr>
          <w:p>
            <w:r>
              <w:rPr>
                <w:sz w:val="21"/>
              </w:rPr>
              <w:t>Identify one privilege chain tied to a critical asset</w:t>
            </w:r>
          </w:p>
        </w:tc>
        <w:tc>
          <w:tcPr>
            <w:tcW w:type="dxa" w:w="3120"/>
          </w:tcPr>
          <w:p>
            <w:r>
              <w:rPr>
                <w:sz w:val="21"/>
              </w:rPr>
              <w:t>Priya Nathan, Access Governance</w:t>
            </w:r>
          </w:p>
        </w:tc>
        <w:tc>
          <w:tcPr>
            <w:tcW w:type="dxa" w:w="3120"/>
          </w:tcPr>
          <w:p>
            <w:r>
              <w:rPr>
                <w:sz w:val="21"/>
              </w:rPr>
              <w:t>Done</w:t>
            </w:r>
          </w:p>
        </w:tc>
      </w:tr>
      <w:tr>
        <w:tc>
          <w:tcPr>
            <w:tcW w:type="dxa" w:w="9360"/>
            <w:gridSpan w:val="3"/>
          </w:tcPr>
          <w:p>
            <w:r>
              <w:rPr>
                <w:b/>
                <w:color w:val="1B2A55"/>
                <w:sz w:val="19"/>
              </w:rPr>
              <w:t>IN THE NEXT 60 DAYS</w:t>
            </w:r>
          </w:p>
        </w:tc>
      </w:tr>
      <w:tr>
        <w:tc>
          <w:tcPr>
            <w:tcW w:type="dxa" w:w="3120"/>
          </w:tcPr>
          <w:p>
            <w:r>
              <w:rPr>
                <w:sz w:val="21"/>
              </w:rPr>
              <w:t>Assign owners to the highest-risk identity objects</w:t>
            </w:r>
          </w:p>
        </w:tc>
        <w:tc>
          <w:tcPr>
            <w:tcW w:type="dxa" w:w="3120"/>
          </w:tcPr>
          <w:p>
            <w:r>
              <w:rPr>
                <w:sz w:val="21"/>
              </w:rPr>
              <w:t>Jordan Reyes, IAM Lead</w:t>
            </w:r>
          </w:p>
        </w:tc>
        <w:tc>
          <w:tcPr>
            <w:tcW w:type="dxa" w:w="3120"/>
          </w:tcPr>
          <w:p>
            <w:r>
              <w:rPr>
                <w:sz w:val="21"/>
              </w:rPr>
              <w:t>In progress</w:t>
            </w:r>
          </w:p>
        </w:tc>
      </w:tr>
      <w:tr>
        <w:tc>
          <w:tcPr>
            <w:tcW w:type="dxa" w:w="3120"/>
          </w:tcPr>
          <w:p>
            <w:r>
              <w:rPr>
                <w:sz w:val="21"/>
              </w:rPr>
              <w:t>Create a basic Decision-Rights Matrix</w:t>
            </w:r>
          </w:p>
        </w:tc>
        <w:tc>
          <w:tcPr>
            <w:tcW w:type="dxa" w:w="3120"/>
          </w:tcPr>
          <w:p>
            <w:r>
              <w:rPr>
                <w:sz w:val="21"/>
              </w:rPr>
              <w:t>Jordan Reyes, IAM Lead</w:t>
            </w:r>
          </w:p>
        </w:tc>
        <w:tc>
          <w:tcPr>
            <w:tcW w:type="dxa" w:w="3120"/>
          </w:tcPr>
          <w:p>
            <w:r>
              <w:rPr>
                <w:sz w:val="21"/>
              </w:rPr>
              <w:t>Done</w:t>
            </w:r>
          </w:p>
        </w:tc>
      </w:tr>
      <w:tr>
        <w:tc>
          <w:tcPr>
            <w:tcW w:type="dxa" w:w="3120"/>
          </w:tcPr>
          <w:p>
            <w:r>
              <w:rPr>
                <w:sz w:val="21"/>
              </w:rPr>
              <w:t>Define a first-wave lifecycle cleanup target</w:t>
            </w:r>
          </w:p>
        </w:tc>
        <w:tc>
          <w:tcPr>
            <w:tcW w:type="dxa" w:w="3120"/>
          </w:tcPr>
          <w:p>
            <w:r>
              <w:rPr>
                <w:sz w:val="21"/>
              </w:rPr>
              <w:t>Morgan Blake, IAM Operations</w:t>
            </w:r>
          </w:p>
        </w:tc>
        <w:tc>
          <w:tcPr>
            <w:tcW w:type="dxa" w:w="3120"/>
          </w:tcPr>
          <w:p>
            <w:r>
              <w:rPr>
                <w:sz w:val="21"/>
              </w:rPr>
              <w:t>Done</w:t>
            </w:r>
          </w:p>
        </w:tc>
      </w:tr>
      <w:tr>
        <w:tc>
          <w:tcPr>
            <w:tcW w:type="dxa" w:w="3120"/>
          </w:tcPr>
          <w:p>
            <w:r>
              <w:rPr>
                <w:sz w:val="21"/>
              </w:rPr>
              <w:t>Clarify one access model that people do not trust</w:t>
            </w:r>
          </w:p>
        </w:tc>
        <w:tc>
          <w:tcPr>
            <w:tcW w:type="dxa" w:w="3120"/>
          </w:tcPr>
          <w:p>
            <w:r>
              <w:rPr>
                <w:sz w:val="21"/>
              </w:rPr>
              <w:t>Priya Nathan, Access Governance</w:t>
            </w:r>
          </w:p>
        </w:tc>
        <w:tc>
          <w:tcPr>
            <w:tcW w:type="dxa" w:w="3120"/>
          </w:tcPr>
          <w:p>
            <w:r>
              <w:rPr>
                <w:sz w:val="21"/>
              </w:rPr>
              <w:t>In progress</w:t>
            </w:r>
          </w:p>
        </w:tc>
      </w:tr>
      <w:tr>
        <w:tc>
          <w:tcPr>
            <w:tcW w:type="dxa" w:w="3120"/>
          </w:tcPr>
          <w:p>
            <w:r>
              <w:rPr>
                <w:sz w:val="21"/>
              </w:rPr>
              <w:t>Establish one AI identity review path if AI is already present</w:t>
            </w:r>
          </w:p>
        </w:tc>
        <w:tc>
          <w:tcPr>
            <w:tcW w:type="dxa" w:w="3120"/>
          </w:tcPr>
          <w:p>
            <w:r>
              <w:rPr>
                <w:sz w:val="21"/>
              </w:rPr>
              <w:t>Alex Chen, AI Governance</w:t>
            </w:r>
          </w:p>
        </w:tc>
        <w:tc>
          <w:tcPr>
            <w:tcW w:type="dxa" w:w="3120"/>
          </w:tcPr>
          <w:p>
            <w:r>
              <w:rPr>
                <w:sz w:val="21"/>
              </w:rPr>
              <w:t>Not started</w:t>
            </w:r>
          </w:p>
        </w:tc>
      </w:tr>
      <w:tr>
        <w:tc>
          <w:tcPr>
            <w:tcW w:type="dxa" w:w="9360"/>
            <w:gridSpan w:val="3"/>
          </w:tcPr>
          <w:p>
            <w:r>
              <w:rPr>
                <w:b/>
                <w:color w:val="1B2A55"/>
                <w:sz w:val="19"/>
              </w:rPr>
              <w:t>IN THE NEXT 90 DAYS</w:t>
            </w:r>
          </w:p>
        </w:tc>
      </w:tr>
      <w:tr>
        <w:tc>
          <w:tcPr>
            <w:tcW w:type="dxa" w:w="3120"/>
          </w:tcPr>
          <w:p>
            <w:r>
              <w:rPr>
                <w:sz w:val="21"/>
              </w:rPr>
              <w:t>Launch one visible governance artifact</w:t>
            </w:r>
          </w:p>
        </w:tc>
        <w:tc>
          <w:tcPr>
            <w:tcW w:type="dxa" w:w="3120"/>
          </w:tcPr>
          <w:p>
            <w:r>
              <w:rPr>
                <w:sz w:val="21"/>
              </w:rPr>
              <w:t>Jordan Reyes, IAM Lead</w:t>
            </w:r>
          </w:p>
        </w:tc>
        <w:tc>
          <w:tcPr>
            <w:tcW w:type="dxa" w:w="3120"/>
          </w:tcPr>
          <w:p>
            <w:r>
              <w:rPr>
                <w:sz w:val="21"/>
              </w:rPr>
              <w:t>Not started</w:t>
            </w:r>
          </w:p>
        </w:tc>
      </w:tr>
      <w:tr>
        <w:tc>
          <w:tcPr>
            <w:tcW w:type="dxa" w:w="3120"/>
          </w:tcPr>
          <w:p>
            <w:r>
              <w:rPr>
                <w:sz w:val="21"/>
              </w:rPr>
              <w:t>Stabilize one lifecycle pattern</w:t>
            </w:r>
          </w:p>
        </w:tc>
        <w:tc>
          <w:tcPr>
            <w:tcW w:type="dxa" w:w="3120"/>
          </w:tcPr>
          <w:p>
            <w:r>
              <w:rPr>
                <w:sz w:val="21"/>
              </w:rPr>
              <w:t>Morgan Blake, IAM Operations</w:t>
            </w:r>
          </w:p>
        </w:tc>
        <w:tc>
          <w:tcPr>
            <w:tcW w:type="dxa" w:w="3120"/>
          </w:tcPr>
          <w:p>
            <w:r>
              <w:rPr>
                <w:sz w:val="21"/>
              </w:rPr>
              <w:t>Not started</w:t>
            </w:r>
          </w:p>
        </w:tc>
      </w:tr>
      <w:tr>
        <w:tc>
          <w:tcPr>
            <w:tcW w:type="dxa" w:w="3120"/>
          </w:tcPr>
          <w:p>
            <w:r>
              <w:rPr>
                <w:sz w:val="21"/>
              </w:rPr>
              <w:t>Simplify one access area</w:t>
            </w:r>
          </w:p>
        </w:tc>
        <w:tc>
          <w:tcPr>
            <w:tcW w:type="dxa" w:w="3120"/>
          </w:tcPr>
          <w:p>
            <w:r>
              <w:rPr>
                <w:sz w:val="21"/>
              </w:rPr>
              <w:t>Priya Nathan, Access Governance</w:t>
            </w:r>
          </w:p>
        </w:tc>
        <w:tc>
          <w:tcPr>
            <w:tcW w:type="dxa" w:w="3120"/>
          </w:tcPr>
          <w:p>
            <w:r>
              <w:rPr>
                <w:sz w:val="21"/>
              </w:rPr>
              <w:t>Not started</w:t>
            </w:r>
          </w:p>
        </w:tc>
      </w:tr>
      <w:tr>
        <w:tc>
          <w:tcPr>
            <w:tcW w:type="dxa" w:w="3120"/>
          </w:tcPr>
          <w:p>
            <w:r>
              <w:rPr>
                <w:sz w:val="21"/>
              </w:rPr>
              <w:t>Improve one technology visibility gap</w:t>
            </w:r>
          </w:p>
        </w:tc>
        <w:tc>
          <w:tcPr>
            <w:tcW w:type="dxa" w:w="3120"/>
          </w:tcPr>
          <w:p>
            <w:r>
              <w:rPr>
                <w:sz w:val="21"/>
              </w:rPr>
              <w:t>Sam Okafor, Technology Lead</w:t>
            </w:r>
          </w:p>
        </w:tc>
        <w:tc>
          <w:tcPr>
            <w:tcW w:type="dxa" w:w="3120"/>
          </w:tcPr>
          <w:p>
            <w:r>
              <w:rPr>
                <w:sz w:val="21"/>
              </w:rPr>
              <w:t>Not started</w:t>
            </w:r>
          </w:p>
        </w:tc>
      </w:tr>
      <w:tr>
        <w:tc>
          <w:tcPr>
            <w:tcW w:type="dxa" w:w="3120"/>
          </w:tcPr>
          <w:p>
            <w:r>
              <w:rPr>
                <w:sz w:val="21"/>
              </w:rPr>
              <w:t>Train one stakeholder group well enough that behavior changes</w:t>
            </w:r>
          </w:p>
        </w:tc>
        <w:tc>
          <w:tcPr>
            <w:tcW w:type="dxa" w:w="3120"/>
          </w:tcPr>
          <w:p>
            <w:r>
              <w:rPr>
                <w:sz w:val="21"/>
              </w:rPr>
              <w:t>Taylor Wu, OCM Lead</w:t>
            </w:r>
          </w:p>
        </w:tc>
        <w:tc>
          <w:tcPr>
            <w:tcW w:type="dxa" w:w="3120"/>
          </w:tcPr>
          <w:p>
            <w:r>
              <w:rPr>
                <w:sz w:val="21"/>
              </w:rPr>
              <w:t>Not started</w:t>
            </w:r>
          </w:p>
        </w:tc>
      </w:tr>
    </w:tbl>
    <w:p>
      <w:r>
        <w:rPr>
          <w:b w:val="0"/>
          <w:i/>
          <w:color w:val="4A5680"/>
          <w:sz w:val="22"/>
        </w:rPr>
        <w:t>Now build your own plan, thirty, sixty, and ninety days out:</w:t>
      </w:r>
    </w:p>
    <w:p>
      <w:pPr>
        <w:pStyle w:val="Heading1"/>
      </w:pPr>
      <w:r>
        <w:rPr>
          <w:color w:val="1B2A55"/>
        </w:rPr>
        <w:t>In the next 30 days</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tcPr>
          <w:p>
            <w:r/>
            <w:r>
              <w:rPr>
                <w:b/>
                <w:color w:val="1B2A55"/>
                <w:sz w:val="20"/>
              </w:rPr>
              <w:t>Action</w:t>
            </w:r>
          </w:p>
        </w:tc>
        <w:tc>
          <w:tcPr>
            <w:tcW w:type="dxa" w:w="3120"/>
          </w:tcPr>
          <w:p>
            <w:r/>
            <w:r>
              <w:rPr>
                <w:b/>
                <w:color w:val="1B2A55"/>
                <w:sz w:val="20"/>
              </w:rPr>
              <w:t>Owner</w:t>
            </w:r>
          </w:p>
        </w:tc>
        <w:tc>
          <w:tcPr>
            <w:tcW w:type="dxa" w:w="3120"/>
          </w:tcPr>
          <w:p>
            <w:r/>
            <w:r>
              <w:rPr>
                <w:b/>
                <w:color w:val="1B2A55"/>
                <w:sz w:val="20"/>
              </w:rPr>
              <w:t>Status</w:t>
            </w:r>
          </w:p>
        </w:tc>
      </w:tr>
      <w:tr>
        <w:tc>
          <w:tcPr>
            <w:tcW w:type="dxa" w:w="3120"/>
          </w:tcPr>
          <w:p>
            <w:r/>
            <w:r>
              <w:rPr>
                <w:sz w:val="20"/>
              </w:rPr>
              <w:t>Map the major identity types in your environment</w:t>
            </w:r>
          </w:p>
        </w:tc>
        <w:tc>
          <w:tcPr>
            <w:tcW w:type="dxa" w:w="3120"/>
          </w:tcPr>
          <w:p/>
        </w:tc>
        <w:tc>
          <w:tcPr>
            <w:tcW w:type="dxa" w:w="3120"/>
          </w:tcPr>
          <w:p/>
        </w:tc>
      </w:tr>
      <w:tr>
        <w:tc>
          <w:tcPr>
            <w:tcW w:type="dxa" w:w="3120"/>
          </w:tcPr>
          <w:p>
            <w:r/>
            <w:r>
              <w:rPr>
                <w:sz w:val="20"/>
              </w:rPr>
              <w:t>Identify your top ownership gaps</w:t>
            </w:r>
          </w:p>
        </w:tc>
        <w:tc>
          <w:tcPr>
            <w:tcW w:type="dxa" w:w="3120"/>
          </w:tcPr>
          <w:p/>
        </w:tc>
        <w:tc>
          <w:tcPr>
            <w:tcW w:type="dxa" w:w="3120"/>
          </w:tcPr>
          <w:p/>
        </w:tc>
      </w:tr>
      <w:tr>
        <w:tc>
          <w:tcPr>
            <w:tcW w:type="dxa" w:w="3120"/>
          </w:tcPr>
          <w:p>
            <w:r/>
            <w:r>
              <w:rPr>
                <w:sz w:val="20"/>
              </w:rPr>
              <w:t>Identify your most visible lifecycle drift</w:t>
            </w:r>
          </w:p>
        </w:tc>
        <w:tc>
          <w:tcPr>
            <w:tcW w:type="dxa" w:w="3120"/>
          </w:tcPr>
          <w:p/>
        </w:tc>
        <w:tc>
          <w:tcPr>
            <w:tcW w:type="dxa" w:w="3120"/>
          </w:tcPr>
          <w:p/>
        </w:tc>
      </w:tr>
      <w:tr>
        <w:tc>
          <w:tcPr>
            <w:tcW w:type="dxa" w:w="3120"/>
          </w:tcPr>
          <w:p>
            <w:r/>
            <w:r>
              <w:rPr>
                <w:sz w:val="20"/>
              </w:rPr>
              <w:t>Inventory the most important nonhuman credentials</w:t>
            </w:r>
          </w:p>
        </w:tc>
        <w:tc>
          <w:tcPr>
            <w:tcW w:type="dxa" w:w="3120"/>
          </w:tcPr>
          <w:p/>
        </w:tc>
        <w:tc>
          <w:tcPr>
            <w:tcW w:type="dxa" w:w="3120"/>
          </w:tcPr>
          <w:p/>
        </w:tc>
      </w:tr>
      <w:tr>
        <w:tc>
          <w:tcPr>
            <w:tcW w:type="dxa" w:w="3120"/>
          </w:tcPr>
          <w:p>
            <w:r/>
            <w:r>
              <w:rPr>
                <w:sz w:val="20"/>
              </w:rPr>
              <w:t>Identify one privilege chain tied to a critical asset</w:t>
            </w:r>
          </w:p>
        </w:tc>
        <w:tc>
          <w:tcPr>
            <w:tcW w:type="dxa" w:w="3120"/>
          </w:tcPr>
          <w:p/>
        </w:tc>
        <w:tc>
          <w:tcPr>
            <w:tcW w:type="dxa" w:w="3120"/>
          </w:tcPr>
          <w:p/>
        </w:tc>
      </w:tr>
    </w:tbl>
    <w:p/>
    <w:p>
      <w:pPr>
        <w:pStyle w:val="Heading1"/>
      </w:pPr>
      <w:r>
        <w:rPr>
          <w:color w:val="1B2A55"/>
        </w:rPr>
        <w:t>In the next 60 days</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tcPr>
          <w:p>
            <w:r/>
            <w:r>
              <w:rPr>
                <w:b/>
                <w:color w:val="1B2A55"/>
                <w:sz w:val="20"/>
              </w:rPr>
              <w:t>Action</w:t>
            </w:r>
          </w:p>
        </w:tc>
        <w:tc>
          <w:tcPr>
            <w:tcW w:type="dxa" w:w="3120"/>
          </w:tcPr>
          <w:p>
            <w:r/>
            <w:r>
              <w:rPr>
                <w:b/>
                <w:color w:val="1B2A55"/>
                <w:sz w:val="20"/>
              </w:rPr>
              <w:t>Owner</w:t>
            </w:r>
          </w:p>
        </w:tc>
        <w:tc>
          <w:tcPr>
            <w:tcW w:type="dxa" w:w="3120"/>
          </w:tcPr>
          <w:p>
            <w:r/>
            <w:r>
              <w:rPr>
                <w:b/>
                <w:color w:val="1B2A55"/>
                <w:sz w:val="20"/>
              </w:rPr>
              <w:t>Status</w:t>
            </w:r>
          </w:p>
        </w:tc>
      </w:tr>
      <w:tr>
        <w:tc>
          <w:tcPr>
            <w:tcW w:type="dxa" w:w="3120"/>
          </w:tcPr>
          <w:p>
            <w:r/>
            <w:r>
              <w:rPr>
                <w:sz w:val="20"/>
              </w:rPr>
              <w:t>Assign owners to the highest-risk identity objects</w:t>
            </w:r>
          </w:p>
        </w:tc>
        <w:tc>
          <w:tcPr>
            <w:tcW w:type="dxa" w:w="3120"/>
          </w:tcPr>
          <w:p/>
        </w:tc>
        <w:tc>
          <w:tcPr>
            <w:tcW w:type="dxa" w:w="3120"/>
          </w:tcPr>
          <w:p/>
        </w:tc>
      </w:tr>
      <w:tr>
        <w:tc>
          <w:tcPr>
            <w:tcW w:type="dxa" w:w="3120"/>
          </w:tcPr>
          <w:p>
            <w:r/>
            <w:r>
              <w:rPr>
                <w:sz w:val="20"/>
              </w:rPr>
              <w:t>Create a basic Decision-Rights Matrix</w:t>
            </w:r>
          </w:p>
        </w:tc>
        <w:tc>
          <w:tcPr>
            <w:tcW w:type="dxa" w:w="3120"/>
          </w:tcPr>
          <w:p/>
        </w:tc>
        <w:tc>
          <w:tcPr>
            <w:tcW w:type="dxa" w:w="3120"/>
          </w:tcPr>
          <w:p/>
        </w:tc>
      </w:tr>
      <w:tr>
        <w:tc>
          <w:tcPr>
            <w:tcW w:type="dxa" w:w="3120"/>
          </w:tcPr>
          <w:p>
            <w:r/>
            <w:r>
              <w:rPr>
                <w:sz w:val="20"/>
              </w:rPr>
              <w:t>Define a first-wave lifecycle cleanup target</w:t>
            </w:r>
          </w:p>
        </w:tc>
        <w:tc>
          <w:tcPr>
            <w:tcW w:type="dxa" w:w="3120"/>
          </w:tcPr>
          <w:p/>
        </w:tc>
        <w:tc>
          <w:tcPr>
            <w:tcW w:type="dxa" w:w="3120"/>
          </w:tcPr>
          <w:p/>
        </w:tc>
      </w:tr>
      <w:tr>
        <w:tc>
          <w:tcPr>
            <w:tcW w:type="dxa" w:w="3120"/>
          </w:tcPr>
          <w:p>
            <w:r/>
            <w:r>
              <w:rPr>
                <w:sz w:val="20"/>
              </w:rPr>
              <w:t>Clarify one access model that people do not trust</w:t>
            </w:r>
          </w:p>
        </w:tc>
        <w:tc>
          <w:tcPr>
            <w:tcW w:type="dxa" w:w="3120"/>
          </w:tcPr>
          <w:p/>
        </w:tc>
        <w:tc>
          <w:tcPr>
            <w:tcW w:type="dxa" w:w="3120"/>
          </w:tcPr>
          <w:p/>
        </w:tc>
      </w:tr>
      <w:tr>
        <w:tc>
          <w:tcPr>
            <w:tcW w:type="dxa" w:w="3120"/>
          </w:tcPr>
          <w:p>
            <w:r/>
            <w:r>
              <w:rPr>
                <w:sz w:val="20"/>
              </w:rPr>
              <w:t>Establish one AI identity review path if AI is already present</w:t>
            </w:r>
          </w:p>
        </w:tc>
        <w:tc>
          <w:tcPr>
            <w:tcW w:type="dxa" w:w="3120"/>
          </w:tcPr>
          <w:p/>
        </w:tc>
        <w:tc>
          <w:tcPr>
            <w:tcW w:type="dxa" w:w="3120"/>
          </w:tcPr>
          <w:p/>
        </w:tc>
      </w:tr>
    </w:tbl>
    <w:p/>
    <w:p>
      <w:pPr>
        <w:pStyle w:val="Heading1"/>
      </w:pPr>
      <w:r>
        <w:rPr>
          <w:color w:val="1B2A55"/>
        </w:rPr>
        <w:t>In the next 90 days</w:t>
      </w:r>
    </w:p>
    <w:tbl>
      <w:tblPr>
        <w:tblStyle w:val="TableGrid"/>
        <w:tblW w:type="auto" w:w="0"/>
        <w:tblLook w:firstColumn="1" w:firstRow="1" w:lastColumn="0" w:lastRow="0" w:noHBand="0" w:noVBand="1" w:val="04A0"/>
      </w:tblPr>
      <w:tblGrid>
        <w:gridCol w:w="3120"/>
        <w:gridCol w:w="3120"/>
        <w:gridCol w:w="3120"/>
      </w:tblGrid>
      <w:tr>
        <w:trPr>
          <w:tblHeader w:val="true"/>
        </w:trPr>
        <w:tc>
          <w:tcPr>
            <w:tcW w:type="dxa" w:w="3120"/>
          </w:tcPr>
          <w:p>
            <w:r/>
            <w:r>
              <w:rPr>
                <w:b/>
                <w:color w:val="1B2A55"/>
                <w:sz w:val="20"/>
              </w:rPr>
              <w:t>Action</w:t>
            </w:r>
          </w:p>
        </w:tc>
        <w:tc>
          <w:tcPr>
            <w:tcW w:type="dxa" w:w="3120"/>
          </w:tcPr>
          <w:p>
            <w:r/>
            <w:r>
              <w:rPr>
                <w:b/>
                <w:color w:val="1B2A55"/>
                <w:sz w:val="20"/>
              </w:rPr>
              <w:t>Owner</w:t>
            </w:r>
          </w:p>
        </w:tc>
        <w:tc>
          <w:tcPr>
            <w:tcW w:type="dxa" w:w="3120"/>
          </w:tcPr>
          <w:p>
            <w:r/>
            <w:r>
              <w:rPr>
                <w:b/>
                <w:color w:val="1B2A55"/>
                <w:sz w:val="20"/>
              </w:rPr>
              <w:t>Status</w:t>
            </w:r>
          </w:p>
        </w:tc>
      </w:tr>
      <w:tr>
        <w:tc>
          <w:tcPr>
            <w:tcW w:type="dxa" w:w="3120"/>
          </w:tcPr>
          <w:p>
            <w:r/>
            <w:r>
              <w:rPr>
                <w:sz w:val="20"/>
              </w:rPr>
              <w:t>Launch one visible governance artifact</w:t>
            </w:r>
          </w:p>
        </w:tc>
        <w:tc>
          <w:tcPr>
            <w:tcW w:type="dxa" w:w="3120"/>
          </w:tcPr>
          <w:p/>
        </w:tc>
        <w:tc>
          <w:tcPr>
            <w:tcW w:type="dxa" w:w="3120"/>
          </w:tcPr>
          <w:p/>
        </w:tc>
      </w:tr>
      <w:tr>
        <w:tc>
          <w:tcPr>
            <w:tcW w:type="dxa" w:w="3120"/>
          </w:tcPr>
          <w:p>
            <w:r/>
            <w:r>
              <w:rPr>
                <w:sz w:val="20"/>
              </w:rPr>
              <w:t>Stabilize one lifecycle pattern</w:t>
            </w:r>
          </w:p>
        </w:tc>
        <w:tc>
          <w:tcPr>
            <w:tcW w:type="dxa" w:w="3120"/>
          </w:tcPr>
          <w:p/>
        </w:tc>
        <w:tc>
          <w:tcPr>
            <w:tcW w:type="dxa" w:w="3120"/>
          </w:tcPr>
          <w:p/>
        </w:tc>
      </w:tr>
      <w:tr>
        <w:tc>
          <w:tcPr>
            <w:tcW w:type="dxa" w:w="3120"/>
          </w:tcPr>
          <w:p>
            <w:r/>
            <w:r>
              <w:rPr>
                <w:sz w:val="20"/>
              </w:rPr>
              <w:t>Simplify one access area</w:t>
            </w:r>
          </w:p>
        </w:tc>
        <w:tc>
          <w:tcPr>
            <w:tcW w:type="dxa" w:w="3120"/>
          </w:tcPr>
          <w:p/>
        </w:tc>
        <w:tc>
          <w:tcPr>
            <w:tcW w:type="dxa" w:w="3120"/>
          </w:tcPr>
          <w:p/>
        </w:tc>
      </w:tr>
      <w:tr>
        <w:tc>
          <w:tcPr>
            <w:tcW w:type="dxa" w:w="3120"/>
          </w:tcPr>
          <w:p>
            <w:r/>
            <w:r>
              <w:rPr>
                <w:sz w:val="20"/>
              </w:rPr>
              <w:t>Improve one technology visibility gap</w:t>
            </w:r>
          </w:p>
        </w:tc>
        <w:tc>
          <w:tcPr>
            <w:tcW w:type="dxa" w:w="3120"/>
          </w:tcPr>
          <w:p/>
        </w:tc>
        <w:tc>
          <w:tcPr>
            <w:tcW w:type="dxa" w:w="3120"/>
          </w:tcPr>
          <w:p/>
        </w:tc>
      </w:tr>
      <w:tr>
        <w:tc>
          <w:tcPr>
            <w:tcW w:type="dxa" w:w="3120"/>
          </w:tcPr>
          <w:p>
            <w:r/>
            <w:r>
              <w:rPr>
                <w:sz w:val="20"/>
              </w:rPr>
              <w:t>Train one stakeholder group well enough that behavior changes</w:t>
            </w:r>
          </w:p>
        </w:tc>
        <w:tc>
          <w:tcPr>
            <w:tcW w:type="dxa" w:w="3120"/>
          </w:tcPr>
          <w:p/>
        </w:tc>
        <w:tc>
          <w:tcPr>
            <w:tcW w:type="dxa" w:w="3120"/>
          </w:tcPr>
          <w:p/>
        </w:tc>
      </w:tr>
    </w:tbl>
    <w:p/>
    <w:p>
      <w:r>
        <w:t>Create proof that the model can work in one real place. Then expand.</w:t>
      </w:r>
    </w:p>
    <w:sectPr w:rsidR="00FC693F" w:rsidRPr="0006063C" w:rsidSect="00034616">
      <w:footerReference w:type="default" r:id="rId9"/>
      <w:head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680"/>
        <w:sz w:val="16"/>
      </w:rPr>
      <w:t>© 2026 Becky Sandberg  ·  The Modern Identity Operating Model</w:t>
    </w:r>
    <w:r>
      <w:rPr>
        <w:color w:val="4A5680"/>
        <w:sz w:val="18"/>
      </w:rPr>
      <w:t xml:space="preserve">   ·   Page </w:t>
    </w:r>
    <w:fldSimple w:instr="PAGE">
      <w:r>
        <w:t>1</w:t>
      </w:r>
    </w:fldSimple>
  </w:p>
  <w:p>
    <w:pPr>
      <w:pStyle w:val="Footer"/>
      <w:jc w:val="center"/>
    </w:pPr>
    <w:r>
      <w:rPr>
        <w:color w:val="4A5680"/>
        <w:sz w:val="13"/>
      </w:rPr>
      <w:t xml:space="preserve">Free inside your organization; client use requires a license: modernidentityoperatingmodel.com/license  ·  Provided as is, without warranty. Not legal or regulatory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506093" cy="506093"/>
          <wp:docPr id="1" name="Picture 1"/>
          <wp:cNvGraphicFramePr>
            <a:graphicFrameLocks noChangeAspect="1"/>
          </wp:cNvGraphicFramePr>
          <a:graphic>
            <a:graphicData uri="http://schemas.openxmlformats.org/drawingml/2006/picture">
              <pic:pic>
                <pic:nvPicPr>
                  <pic:cNvPr id="0" name="horizontal.png"/>
                  <pic:cNvPicPr/>
                </pic:nvPicPr>
                <pic:blipFill>
                  <a:blip r:embed="rId1"/>
                  <a:stretch>
                    <a:fillRect/>
                  </a:stretch>
                </pic:blipFill>
                <pic:spPr>
                  <a:xfrm>
                    <a:off x="0" y="0"/>
                    <a:ext cx="506093" cy="50609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Ninety-Day Starter Plan</dc:title>
  <dc:subject>Companion to The Modern Identity Operating Model</dc:subject>
  <dc:creator>Becky Sandberg</dc:creator>
  <cp:lastModifiedBy>Becky Sandberg</cp:lastModifiedBy>
  <cp:keywords>identity, IAM, operating model</cp:keywords>
  <dcterms:created xsi:type="dcterms:W3CDTF">2013-12-23T23:15:00Z</dcterms:created>
  <dcterms:modified xsi:type="dcterms:W3CDTF">2013-12-23T23:15:00Z</dcterms:modified>
</cp:coreProperties>
</file>