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Ownership Map</w:t>
      </w:r>
    </w:p>
    <w:p>
      <w:r>
        <w:rPr>
          <w:i/>
          <w:color w:val="4A5680"/>
          <w:sz w:val="24"/>
        </w:rPr>
        <w:t>Who owns each identity object, who backs them up, and how sure you are.</w:t>
      </w:r>
    </w:p>
    <w:p>
      <w:r>
        <w:rPr>
          <w:i/>
          <w:color w:val="4A5680"/>
          <w:sz w:val="17"/>
        </w:rPr>
        <w:t>Adapted from Chapter 24 of The Modern Identity Operating Model by Becky Sandberg. © 2026 Becky Sandberg.</w:t>
      </w:r>
    </w:p>
    <w:p/>
    <w:p>
      <w:pPr>
        <w:pStyle w:val="Heading1"/>
      </w:pPr>
      <w:r>
        <w:rPr>
          <w:color w:val="1B2A55"/>
        </w:rPr>
        <w:t>What this is</w:t>
      </w:r>
    </w:p>
    <w:p>
      <w:r>
        <w:t>An ownership map is one of the fastest ways to expose identity ambiguity. For each identity object it records who owns it, who backs them up, what it is for, and how often it gets reviewed.</w:t>
      </w:r>
    </w:p>
    <w:p>
      <w:r>
        <w:t>An object without an owner is not neutral. It is unstable. The ownership map turns "someone should own this" into a visible operating reality.</w:t>
      </w:r>
    </w:p>
    <w:p>
      <w:pPr>
        <w:pStyle w:val="Heading1"/>
      </w:pPr>
      <w:r>
        <w:rPr>
          <w:color w:val="1B2A55"/>
        </w:rPr>
        <w:t>When to reach for it</w:t>
      </w:r>
    </w:p>
    <w:p>
      <w:r>
        <w:t>Use it across groups, access roles, systems, service accounts, workload identities, certificates, AI agents, policy objects, and critical entitlements.</w:t>
      </w:r>
    </w:p>
    <w:p>
      <w:r>
        <w:t>Reach for it first when you suspect there are objects no one can clearly claim, or when a review keeps stalling because no one knows who to ask.</w:t>
      </w:r>
    </w:p>
    <w:p>
      <w:pPr>
        <w:pStyle w:val="Heading1"/>
      </w:pPr>
      <w:r>
        <w:rPr>
          <w:color w:val="1B2A55"/>
        </w:rPr>
        <w:t>How to use it</w:t>
      </w:r>
    </w:p>
    <w:p>
      <w:pPr>
        <w:pStyle w:val="ListBullet"/>
      </w:pPr>
      <w:r>
        <w:t>List the objects that matter most first: the ones tied to sensitive access, the ones that would cause trouble if they failed, and the ones no one seems to own.</w:t>
      </w:r>
    </w:p>
    <w:p>
      <w:pPr>
        <w:pStyle w:val="ListBullet"/>
      </w:pPr>
      <w:r>
        <w:t>Name a primary and a backup owner for each. Use roles where you can, so ownership survives turnover.</w:t>
      </w:r>
    </w:p>
    <w:p>
      <w:pPr>
        <w:pStyle w:val="ListBullet"/>
      </w:pPr>
      <w:r>
        <w:t>Set a review cadence that matches the object's risk, rather than one cadence for everything.</w:t>
      </w:r>
    </w:p>
    <w:p>
      <w:pPr>
        <w:pStyle w:val="ListBullet"/>
      </w:pPr>
      <w:r>
        <w:t>Be honest in the confidence column. A low is not a failure. It is the most useful thing on the page, because it tells you where to look next.</w:t>
      </w:r>
    </w:p>
    <w:p>
      <w:pPr>
        <w:pStyle w:val="Heading1"/>
      </w:pPr>
      <w:r>
        <w:rPr>
          <w:color w:val="1B2A55"/>
        </w:rPr>
        <w:t>A worked example</w:t>
      </w:r>
    </w:p>
    <w:p>
      <w:r>
        <w:t>*A realistic map across several object types. The roles are examples. Replace them with the ones your organization actually uses.*</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170"/>
          </w:tcPr>
          <w:p>
            <w:r/>
            <w:r>
              <w:rPr>
                <w:b/>
              </w:rPr>
              <w:t>Object name</w:t>
            </w:r>
          </w:p>
        </w:tc>
        <w:tc>
          <w:tcPr>
            <w:tcW w:type="dxa" w:w="1170"/>
          </w:tcPr>
          <w:p>
            <w:r/>
            <w:r>
              <w:rPr>
                <w:b/>
              </w:rPr>
              <w:t>Object type</w:t>
            </w:r>
          </w:p>
        </w:tc>
        <w:tc>
          <w:tcPr>
            <w:tcW w:type="dxa" w:w="1170"/>
          </w:tcPr>
          <w:p>
            <w:r/>
            <w:r>
              <w:rPr>
                <w:b/>
              </w:rPr>
              <w:t>Primary owner</w:t>
            </w:r>
          </w:p>
        </w:tc>
        <w:tc>
          <w:tcPr>
            <w:tcW w:type="dxa" w:w="1170"/>
          </w:tcPr>
          <w:p>
            <w:r/>
            <w:r>
              <w:rPr>
                <w:b/>
              </w:rPr>
              <w:t>Backup owner</w:t>
            </w:r>
          </w:p>
        </w:tc>
        <w:tc>
          <w:tcPr>
            <w:tcW w:type="dxa" w:w="1170"/>
          </w:tcPr>
          <w:p>
            <w:r/>
            <w:r>
              <w:rPr>
                <w:b/>
              </w:rPr>
              <w:t>Purpose</w:t>
            </w:r>
          </w:p>
        </w:tc>
        <w:tc>
          <w:tcPr>
            <w:tcW w:type="dxa" w:w="1170"/>
          </w:tcPr>
          <w:p>
            <w:r/>
            <w:r>
              <w:rPr>
                <w:b/>
              </w:rPr>
              <w:t>Review cadence</w:t>
            </w:r>
          </w:p>
        </w:tc>
        <w:tc>
          <w:tcPr>
            <w:tcW w:type="dxa" w:w="1170"/>
          </w:tcPr>
          <w:p>
            <w:r/>
            <w:r>
              <w:rPr>
                <w:b/>
              </w:rPr>
              <w:t>Confidence</w:t>
            </w:r>
          </w:p>
        </w:tc>
        <w:tc>
          <w:tcPr>
            <w:tcW w:type="dxa" w:w="1170"/>
          </w:tcPr>
          <w:p>
            <w:r/>
            <w:r>
              <w:rPr>
                <w:b/>
              </w:rPr>
              <w:t>Notes</w:t>
            </w:r>
          </w:p>
        </w:tc>
      </w:tr>
      <w:tr>
        <w:tc>
          <w:tcPr>
            <w:tcW w:type="dxa" w:w="1170"/>
          </w:tcPr>
          <w:p>
            <w:r>
              <w:rPr>
                <w:b/>
              </w:rPr>
              <w:t>Finance Reporting role</w:t>
            </w:r>
          </w:p>
        </w:tc>
        <w:tc>
          <w:tcPr>
            <w:tcW w:type="dxa" w:w="1170"/>
          </w:tcPr>
          <w:p>
            <w:r>
              <w:t>Access role</w:t>
            </w:r>
          </w:p>
        </w:tc>
        <w:tc>
          <w:tcPr>
            <w:tcW w:type="dxa" w:w="1170"/>
          </w:tcPr>
          <w:p>
            <w:r>
              <w:t>Director of Finance Operations</w:t>
            </w:r>
          </w:p>
        </w:tc>
        <w:tc>
          <w:tcPr>
            <w:tcW w:type="dxa" w:w="1170"/>
          </w:tcPr>
          <w:p>
            <w:r>
              <w:t>Finance Systems Manager</w:t>
            </w:r>
          </w:p>
        </w:tc>
        <w:tc>
          <w:tcPr>
            <w:tcW w:type="dxa" w:w="1170"/>
          </w:tcPr>
          <w:p>
            <w:r>
              <w:t>Reporting access for month-end close and audit preparation</w:t>
            </w:r>
          </w:p>
        </w:tc>
        <w:tc>
          <w:tcPr>
            <w:tcW w:type="dxa" w:w="1170"/>
          </w:tcPr>
          <w:p>
            <w:r>
              <w:t>Quarterly</w:t>
            </w:r>
          </w:p>
        </w:tc>
        <w:tc>
          <w:tcPr>
            <w:tcW w:type="dxa" w:w="1170"/>
          </w:tcPr>
          <w:p>
            <w:r>
              <w:t>High</w:t>
            </w:r>
          </w:p>
        </w:tc>
        <w:tc>
          <w:tcPr>
            <w:tcW w:type="dxa" w:w="1170"/>
          </w:tcPr>
          <w:p>
            <w:r>
              <w:t>Reviewed 2026-05-01</w:t>
            </w:r>
          </w:p>
        </w:tc>
      </w:tr>
      <w:tr>
        <w:tc>
          <w:tcPr>
            <w:tcW w:type="dxa" w:w="1170"/>
          </w:tcPr>
          <w:p>
            <w:r>
              <w:rPr>
                <w:b/>
              </w:rPr>
              <w:t>Domain Admins group</w:t>
            </w:r>
          </w:p>
        </w:tc>
        <w:tc>
          <w:tcPr>
            <w:tcW w:type="dxa" w:w="1170"/>
          </w:tcPr>
          <w:p>
            <w:r>
              <w:t>Group</w:t>
            </w:r>
          </w:p>
        </w:tc>
        <w:tc>
          <w:tcPr>
            <w:tcW w:type="dxa" w:w="1170"/>
          </w:tcPr>
          <w:p>
            <w:r>
              <w:t>Infrastructure lead</w:t>
            </w:r>
          </w:p>
        </w:tc>
        <w:tc>
          <w:tcPr>
            <w:tcW w:type="dxa" w:w="1170"/>
          </w:tcPr>
          <w:p>
            <w:r>
              <w:t>Security operations lead</w:t>
            </w:r>
          </w:p>
        </w:tc>
        <w:tc>
          <w:tcPr>
            <w:tcW w:type="dxa" w:w="1170"/>
          </w:tcPr>
          <w:p>
            <w:r>
              <w:t>Privileged administration of the core directory</w:t>
            </w:r>
          </w:p>
        </w:tc>
        <w:tc>
          <w:tcPr>
            <w:tcW w:type="dxa" w:w="1170"/>
          </w:tcPr>
          <w:p>
            <w:r>
              <w:t>Quarterly</w:t>
            </w:r>
          </w:p>
        </w:tc>
        <w:tc>
          <w:tcPr>
            <w:tcW w:type="dxa" w:w="1170"/>
          </w:tcPr>
          <w:p>
            <w:r>
              <w:t>High</w:t>
            </w:r>
          </w:p>
        </w:tc>
        <w:tc>
          <w:tcPr>
            <w:tcW w:type="dxa" w:w="1170"/>
          </w:tcPr>
          <w:p>
            <w:r>
              <w:t>Membership kept to a named short list</w:t>
            </w:r>
          </w:p>
        </w:tc>
      </w:tr>
      <w:tr>
        <w:tc>
          <w:tcPr>
            <w:tcW w:type="dxa" w:w="1170"/>
          </w:tcPr>
          <w:p>
            <w:r>
              <w:rPr>
                <w:b/>
              </w:rPr>
              <w:t>svc-datawarehouse-etl</w:t>
            </w:r>
          </w:p>
        </w:tc>
        <w:tc>
          <w:tcPr>
            <w:tcW w:type="dxa" w:w="1170"/>
          </w:tcPr>
          <w:p>
            <w:r>
              <w:t>Service account</w:t>
            </w:r>
          </w:p>
        </w:tc>
        <w:tc>
          <w:tcPr>
            <w:tcW w:type="dxa" w:w="1170"/>
          </w:tcPr>
          <w:p>
            <w:r>
              <w:t>Data platform owner</w:t>
            </w:r>
          </w:p>
        </w:tc>
        <w:tc>
          <w:tcPr>
            <w:tcW w:type="dxa" w:w="1170"/>
          </w:tcPr>
          <w:p>
            <w:r>
              <w:t>Data platform engineer</w:t>
            </w:r>
          </w:p>
        </w:tc>
        <w:tc>
          <w:tcPr>
            <w:tcW w:type="dxa" w:w="1170"/>
          </w:tcPr>
          <w:p>
            <w:r>
              <w:t>Nightly load into the analytics warehouse</w:t>
            </w:r>
          </w:p>
        </w:tc>
        <w:tc>
          <w:tcPr>
            <w:tcW w:type="dxa" w:w="1170"/>
          </w:tcPr>
          <w:p>
            <w:r>
              <w:t>Semiannual</w:t>
            </w:r>
          </w:p>
        </w:tc>
        <w:tc>
          <w:tcPr>
            <w:tcW w:type="dxa" w:w="1170"/>
          </w:tcPr>
          <w:p>
            <w:r>
              <w:t>Medium</w:t>
            </w:r>
          </w:p>
        </w:tc>
        <w:tc>
          <w:tcPr>
            <w:tcW w:type="dxa" w:w="1170"/>
          </w:tcPr>
          <w:p>
            <w:r>
              <w:t>Rotation schedule being confirmed</w:t>
            </w:r>
          </w:p>
        </w:tc>
      </w:tr>
      <w:tr>
        <w:tc>
          <w:tcPr>
            <w:tcW w:type="dxa" w:w="1170"/>
          </w:tcPr>
          <w:p>
            <w:r>
              <w:rPr>
                <w:b/>
              </w:rPr>
              <w:t>billing-reconciler</w:t>
            </w:r>
          </w:p>
        </w:tc>
        <w:tc>
          <w:tcPr>
            <w:tcW w:type="dxa" w:w="1170"/>
          </w:tcPr>
          <w:p>
            <w:r>
              <w:t>AI agent</w:t>
            </w:r>
          </w:p>
        </w:tc>
        <w:tc>
          <w:tcPr>
            <w:tcW w:type="dxa" w:w="1170"/>
          </w:tcPr>
          <w:p>
            <w:r>
              <w:t>Revenue operations sponsor</w:t>
            </w:r>
          </w:p>
        </w:tc>
        <w:tc>
          <w:tcPr>
            <w:tcW w:type="dxa" w:w="1170"/>
          </w:tcPr>
          <w:p>
            <w:r>
              <w:t>IAM lead</w:t>
            </w:r>
          </w:p>
        </w:tc>
        <w:tc>
          <w:tcPr>
            <w:tcW w:type="dxa" w:w="1170"/>
          </w:tcPr>
          <w:p>
            <w:r>
              <w:t>Reconciles invoices against payments</w:t>
            </w:r>
          </w:p>
        </w:tc>
        <w:tc>
          <w:tcPr>
            <w:tcW w:type="dxa" w:w="1170"/>
          </w:tcPr>
          <w:p>
            <w:r>
              <w:t>Quarterly</w:t>
            </w:r>
          </w:p>
        </w:tc>
        <w:tc>
          <w:tcPr>
            <w:tcW w:type="dxa" w:w="1170"/>
          </w:tcPr>
          <w:p>
            <w:r>
              <w:t>Medium</w:t>
            </w:r>
          </w:p>
        </w:tc>
        <w:tc>
          <w:tcPr>
            <w:tcW w:type="dxa" w:w="1170"/>
          </w:tcPr>
          <w:p>
            <w:r>
              <w:t>Intake on file, logging in review</w:t>
            </w:r>
          </w:p>
        </w:tc>
      </w:tr>
      <w:tr>
        <w:tc>
          <w:tcPr>
            <w:tcW w:type="dxa" w:w="1170"/>
          </w:tcPr>
          <w:p>
            <w:r>
              <w:rPr>
                <w:b/>
              </w:rPr>
              <w:t>Wildcard certificate, *.corp</w:t>
            </w:r>
          </w:p>
        </w:tc>
        <w:tc>
          <w:tcPr>
            <w:tcW w:type="dxa" w:w="1170"/>
          </w:tcPr>
          <w:p>
            <w:r>
              <w:t>Certificate</w:t>
            </w:r>
          </w:p>
        </w:tc>
        <w:tc>
          <w:tcPr>
            <w:tcW w:type="dxa" w:w="1170"/>
          </w:tcPr>
          <w:p>
            <w:r>
              <w:t>Platform team lead</w:t>
            </w:r>
          </w:p>
        </w:tc>
        <w:tc>
          <w:tcPr>
            <w:tcW w:type="dxa" w:w="1170"/>
          </w:tcPr>
          <w:p>
            <w:r>
              <w:t>Network engineer</w:t>
            </w:r>
          </w:p>
        </w:tc>
        <w:tc>
          <w:tcPr>
            <w:tcW w:type="dxa" w:w="1170"/>
          </w:tcPr>
          <w:p>
            <w:r>
              <w:t>Transport security for internal services</w:t>
            </w:r>
          </w:p>
        </w:tc>
        <w:tc>
          <w:tcPr>
            <w:tcW w:type="dxa" w:w="1170"/>
          </w:tcPr>
          <w:p>
            <w:r>
              <w:t>Before expiry, quarterly</w:t>
            </w:r>
          </w:p>
        </w:tc>
        <w:tc>
          <w:tcPr>
            <w:tcW w:type="dxa" w:w="1170"/>
          </w:tcPr>
          <w:p>
            <w:r>
              <w:t>Medium</w:t>
            </w:r>
          </w:p>
        </w:tc>
        <w:tc>
          <w:tcPr>
            <w:tcW w:type="dxa" w:w="1170"/>
          </w:tcPr>
          <w:p>
            <w:r>
              <w:t>Tracked in certificate inventory</w:t>
            </w:r>
          </w:p>
        </w:tc>
      </w:tr>
      <w:tr>
        <w:tc>
          <w:tcPr>
            <w:tcW w:type="dxa" w:w="1170"/>
          </w:tcPr>
          <w:p>
            <w:r>
              <w:rPr>
                <w:b/>
              </w:rPr>
              <w:t>Contractor Onboarding role</w:t>
            </w:r>
          </w:p>
        </w:tc>
        <w:tc>
          <w:tcPr>
            <w:tcW w:type="dxa" w:w="1170"/>
          </w:tcPr>
          <w:p>
            <w:r>
              <w:t>Access role</w:t>
            </w:r>
          </w:p>
        </w:tc>
        <w:tc>
          <w:tcPr>
            <w:tcW w:type="dxa" w:w="1170"/>
          </w:tcPr>
          <w:p>
            <w:r>
              <w:t>HR systems owner</w:t>
            </w:r>
          </w:p>
        </w:tc>
        <w:tc>
          <w:tcPr>
            <w:tcW w:type="dxa" w:w="1170"/>
          </w:tcPr>
          <w:p>
            <w:r>
              <w:t>IAM lead</w:t>
            </w:r>
          </w:p>
        </w:tc>
        <w:tc>
          <w:tcPr>
            <w:tcW w:type="dxa" w:w="1170"/>
          </w:tcPr>
          <w:p>
            <w:r>
              <w:t>Baseline access granted to new contractors</w:t>
            </w:r>
          </w:p>
        </w:tc>
        <w:tc>
          <w:tcPr>
            <w:tcW w:type="dxa" w:w="1170"/>
          </w:tcPr>
          <w:p>
            <w:r>
              <w:t>Quarterly</w:t>
            </w:r>
          </w:p>
        </w:tc>
        <w:tc>
          <w:tcPr>
            <w:tcW w:type="dxa" w:w="1170"/>
          </w:tcPr>
          <w:p>
            <w:r>
              <w:t>Low</w:t>
            </w:r>
          </w:p>
        </w:tc>
        <w:tc>
          <w:tcPr>
            <w:tcW w:type="dxa" w:w="1170"/>
          </w:tcPr>
          <w:p>
            <w:r>
              <w:t>Owner changed, scope under review</w:t>
            </w:r>
          </w:p>
        </w:tc>
      </w:tr>
    </w:tbl>
    <w:p/>
    <w:p>
      <w:pPr>
        <w:pStyle w:val="Heading1"/>
      </w:pPr>
      <w:r>
        <w:rPr>
          <w:color w:val="1B2A55"/>
        </w:rPr>
        <w:t>The blank form</w:t>
      </w:r>
    </w:p>
    <w:p>
      <w:r>
        <w:t>*Fill in one object per row. Add rows as you need them.*</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170"/>
          </w:tcPr>
          <w:p>
            <w:r/>
            <w:r>
              <w:rPr>
                <w:b/>
              </w:rPr>
              <w:t>Object name</w:t>
            </w:r>
          </w:p>
        </w:tc>
        <w:tc>
          <w:tcPr>
            <w:tcW w:type="dxa" w:w="1170"/>
          </w:tcPr>
          <w:p>
            <w:r/>
            <w:r>
              <w:rPr>
                <w:b/>
              </w:rPr>
              <w:t>Object type</w:t>
            </w:r>
          </w:p>
        </w:tc>
        <w:tc>
          <w:tcPr>
            <w:tcW w:type="dxa" w:w="1170"/>
          </w:tcPr>
          <w:p>
            <w:r/>
            <w:r>
              <w:rPr>
                <w:b/>
              </w:rPr>
              <w:t>Primary owner</w:t>
            </w:r>
          </w:p>
        </w:tc>
        <w:tc>
          <w:tcPr>
            <w:tcW w:type="dxa" w:w="1170"/>
          </w:tcPr>
          <w:p>
            <w:r/>
            <w:r>
              <w:rPr>
                <w:b/>
              </w:rPr>
              <w:t>Backup owner</w:t>
            </w:r>
          </w:p>
        </w:tc>
        <w:tc>
          <w:tcPr>
            <w:tcW w:type="dxa" w:w="1170"/>
          </w:tcPr>
          <w:p>
            <w:r/>
            <w:r>
              <w:rPr>
                <w:b/>
              </w:rPr>
              <w:t>Purpose</w:t>
            </w:r>
          </w:p>
        </w:tc>
        <w:tc>
          <w:tcPr>
            <w:tcW w:type="dxa" w:w="1170"/>
          </w:tcPr>
          <w:p>
            <w:r/>
            <w:r>
              <w:rPr>
                <w:b/>
              </w:rPr>
              <w:t>Review cadence</w:t>
            </w:r>
          </w:p>
        </w:tc>
        <w:tc>
          <w:tcPr>
            <w:tcW w:type="dxa" w:w="1170"/>
          </w:tcPr>
          <w:p>
            <w:r/>
            <w:r>
              <w:rPr>
                <w:b/>
              </w:rPr>
              <w:t>Confidence</w:t>
            </w:r>
          </w:p>
        </w:tc>
        <w:tc>
          <w:tcPr>
            <w:tcW w:type="dxa" w:w="1170"/>
          </w:tcPr>
          <w:p>
            <w:r/>
            <w:r>
              <w:rPr>
                <w:b/>
              </w:rPr>
              <w:t>Notes</w:t>
            </w:r>
          </w:p>
        </w:tc>
      </w:tr>
    </w:tbl>
    <w:p/>
    <w:p>
      <w:pPr>
        <w:pStyle w:val="Heading1"/>
      </w:pPr>
      <w:r>
        <w:rPr>
          <w:color w:val="1B2A55"/>
        </w:rPr>
        <w:t>Field guidance</w:t>
      </w:r>
    </w:p>
    <w:p>
      <w:r>
        <w:t>*What belongs in each column,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Object name</w:t>
            </w:r>
          </w:p>
        </w:tc>
        <w:tc>
          <w:tcPr>
            <w:tcW w:type="dxa" w:w="4680"/>
          </w:tcPr>
          <w:p>
            <w:r>
              <w:t>The specific identity object, named the way it appears in your systems so it can be found again.</w:t>
            </w:r>
          </w:p>
        </w:tc>
      </w:tr>
      <w:tr>
        <w:tc>
          <w:tcPr>
            <w:tcW w:type="dxa" w:w="4680"/>
          </w:tcPr>
          <w:p>
            <w:r/>
            <w:r>
              <w:rPr>
                <w:b/>
              </w:rPr>
              <w:t>Object type</w:t>
            </w:r>
          </w:p>
        </w:tc>
        <w:tc>
          <w:tcPr>
            <w:tcW w:type="dxa" w:w="4680"/>
          </w:tcPr>
          <w:p>
            <w:r>
              <w:t>What kind of object it is: group, access role, system, service account, workload identity, certificate, AI agent, policy object, or entitlement. Type drives how you review it.</w:t>
            </w:r>
          </w:p>
        </w:tc>
      </w:tr>
      <w:tr>
        <w:tc>
          <w:tcPr>
            <w:tcW w:type="dxa" w:w="4680"/>
          </w:tcPr>
          <w:p>
            <w:r/>
            <w:r>
              <w:rPr>
                <w:b/>
              </w:rPr>
              <w:t>Primary owner</w:t>
            </w:r>
          </w:p>
        </w:tc>
        <w:tc>
          <w:tcPr>
            <w:tcW w:type="dxa" w:w="4680"/>
          </w:tcPr>
          <w:p>
            <w:r>
              <w:t>The role accountable for the object: its purpose, its membership or scope, and its reviews.</w:t>
            </w:r>
          </w:p>
        </w:tc>
      </w:tr>
      <w:tr>
        <w:tc>
          <w:tcPr>
            <w:tcW w:type="dxa" w:w="4680"/>
          </w:tcPr>
          <w:p>
            <w:r/>
            <w:r>
              <w:rPr>
                <w:b/>
              </w:rPr>
              <w:t>Backup owner</w:t>
            </w:r>
          </w:p>
        </w:tc>
        <w:tc>
          <w:tcPr>
            <w:tcW w:type="dxa" w:w="4680"/>
          </w:tcPr>
          <w:p>
            <w:r>
              <w:t>The role that steps in when the primary is unavailable, so the object is never left unattended.</w:t>
            </w:r>
          </w:p>
        </w:tc>
      </w:tr>
      <w:tr>
        <w:tc>
          <w:tcPr>
            <w:tcW w:type="dxa" w:w="4680"/>
          </w:tcPr>
          <w:p>
            <w:r/>
            <w:r>
              <w:rPr>
                <w:b/>
              </w:rPr>
              <w:t>Purpose</w:t>
            </w:r>
          </w:p>
        </w:tc>
        <w:tc>
          <w:tcPr>
            <w:tcW w:type="dxa" w:w="4680"/>
          </w:tcPr>
          <w:p>
            <w:r>
              <w:t>Why the object exists, in one plain sentence. If you cannot state the purpose, that is a finding.</w:t>
            </w:r>
          </w:p>
        </w:tc>
      </w:tr>
      <w:tr>
        <w:tc>
          <w:tcPr>
            <w:tcW w:type="dxa" w:w="4680"/>
          </w:tcPr>
          <w:p>
            <w:r/>
            <w:r>
              <w:rPr>
                <w:b/>
              </w:rPr>
              <w:t>Review cadence</w:t>
            </w:r>
          </w:p>
        </w:tc>
        <w:tc>
          <w:tcPr>
            <w:tcW w:type="dxa" w:w="4680"/>
          </w:tcPr>
          <w:p>
            <w:r>
              <w:t>How often the object is checked against its purpose. Match it to risk rather than applying one cadence to everything.</w:t>
            </w:r>
          </w:p>
        </w:tc>
      </w:tr>
      <w:tr>
        <w:tc>
          <w:tcPr>
            <w:tcW w:type="dxa" w:w="4680"/>
          </w:tcPr>
          <w:p>
            <w:r/>
            <w:r>
              <w:rPr>
                <w:b/>
              </w:rPr>
              <w:t>Confidence</w:t>
            </w:r>
          </w:p>
        </w:tc>
        <w:tc>
          <w:tcPr>
            <w:tcW w:type="dxa" w:w="4680"/>
          </w:tcPr>
          <w:p>
            <w:r>
              <w:t>How sure you are that the ownership and purpose are correct: high, medium, or low. Low is the signal to look closer, not a reason to leave it blank.</w:t>
            </w:r>
          </w:p>
        </w:tc>
      </w:tr>
      <w:tr>
        <w:tc>
          <w:tcPr>
            <w:tcW w:type="dxa" w:w="4680"/>
          </w:tcPr>
          <w:p>
            <w:r/>
            <w:r>
              <w:rPr>
                <w:b/>
              </w:rPr>
              <w:t>Notes</w:t>
            </w:r>
          </w:p>
        </w:tc>
        <w:tc>
          <w:tcPr>
            <w:tcW w:type="dxa" w:w="4680"/>
          </w:tcPr>
          <w:p>
            <w:r>
              <w:t>Anything that affects how the object should be handled: a pending change, a known gap, a related record.</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Ownership Map</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