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B2A55"/>
          <w:sz w:val="16"/>
          <w:szCs w:val="16"/>
        </w:rPr>
        <w:t xml:space="preserve">THE MODERN IDENTITY OPERATING MODEL  ·  COMPANION WORKBOOK</w:t>
      </w:r>
    </w:p>
    <w:p>
      <w:pPr>
        <w:spacing w:after="60"/>
      </w:pPr>
      <w:r>
        <w:rPr>
          <w:b/>
          <w:color w:val="1B2A55"/>
          <w:sz w:val="48"/>
        </w:rPr>
        <w:t xml:space="preserve">Selling Identity to Executives</w:t>
      </w:r>
    </w:p>
    <w:p>
      <w:pPr>
        <w:spacing w:after="60"/>
      </w:pPr>
      <w:r>
        <w:rPr>
          <w:rFonts w:ascii="Calibri" w:cs="Calibri" w:eastAsia="Calibri" w:hAnsi="Calibri"/>
          <w:i/>
          <w:iCs/>
          <w:color w:val="4A5680"/>
          <w:sz w:val="22"/>
          <w:szCs w:val="22"/>
        </w:rPr>
        <w:t xml:space="preserve">One page per pillar: the case, the measures to bring, and the one-sentence version.</w:t>
      </w:r>
    </w:p>
    <w:p>
      <w:pPr>
        <w:spacing w:after="220"/>
      </w:pPr>
      <w:r>
        <w:rPr>
          <w:rFonts w:ascii="Calibri" w:cs="Calibri" w:eastAsia="Calibri" w:hAnsi="Calibri"/>
          <w:i/>
          <w:iCs/>
          <w:color w:val="4A5680"/>
          <w:sz w:val="18"/>
          <w:szCs w:val="18"/>
        </w:rPr>
        <w:t xml:space="preserve">Adapted from Chapter 21 of The Modern Identity Operating Model by Becky Sandberg. © 2026 Becky Sandberg.</w:t>
      </w:r>
    </w:p>
    <w:p>
      <w:pPr>
        <w:spacing w:after="120"/>
      </w:pPr>
      <w:r>
        <w:rPr>
          <w:rFonts w:ascii="Calibri" w:cs="Calibri" w:eastAsia="Calibri" w:hAnsi="Calibri"/>
          <w:color w:val="1B2A55"/>
          <w:sz w:val="21"/>
          <w:szCs w:val="21"/>
        </w:rPr>
        <w:t xml:space="preserve">Identity becomes strategic the moment leaders see it as defining how work happens, not only securing access. But operating terms are not always the language of the people approving the investment. A board hears in outcomes: revenue, growth, cost, risk, and time.</w:t>
      </w:r>
    </w:p>
    <w:p>
      <w:pPr>
        <w:spacing w:after="120"/>
      </w:pPr>
      <w:r>
        <w:rPr>
          <w:rFonts w:ascii="Calibri" w:cs="Calibri" w:eastAsia="Calibri" w:hAnsi="Calibri"/>
          <w:color w:val="1B2A55"/>
          <w:sz w:val="21"/>
          <w:szCs w:val="21"/>
        </w:rPr>
        <w:t xml:space="preserve">Each page that follows translates one pillar into that language, honestly, without inflating it into a return-on-investment story no one believes. Bring the measures you can actually stand behind, not the ones that sound impressive. The translation is usually closer than it looks.</w:t>
      </w:r>
    </w:p>
    <w:p>
      <w:pPr>
        <w:spacing w:after="120"/>
      </w:pPr>
      <w:r>
        <w:rPr>
          <w:rFonts w:ascii="Calibri" w:cs="Calibri" w:eastAsia="Calibri" w:hAnsi="Calibri"/>
          <w:color w:val="1B2A55"/>
          <w:sz w:val="21"/>
          <w:szCs w:val="21"/>
        </w:rPr>
        <w:t xml:space="preserve">The goal is often modest and specific: enough executive backing to stand up an identity working group and keep it running. Use the page that fits the room.</w:t>
      </w:r>
    </w:p>
    <w:p>
      <w:pPr>
        <w:pageBreakBefore/>
        <w:spacing w:after="60"/>
      </w:pPr>
      <w:r>
        <w:rPr>
          <w:rFonts w:ascii="Calibri" w:cs="Calibri" w:eastAsia="Calibri" w:hAnsi="Calibri"/>
          <w:b/>
          <w:bCs/>
          <w:color w:val="1B2A55"/>
          <w:sz w:val="30"/>
          <w:szCs w:val="30"/>
        </w:rPr>
        <w:t xml:space="preserve">Governance</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Most identity risk is really an ownership and decision problem. When no one owns an access path, or no one can say who decides, work stalls and risk hides. A launch waits on an access question no one can untangle. An audit finding returns because the structure that produced it was never owned. Governance is the accountability a board can actually trust.</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Access paths and systems with no named owner</w:t>
      </w:r>
    </w:p>
    <w:p>
      <w:pPr>
        <w:pStyle w:val="ListParagraph"/>
        <w:numPr>
          <w:ilvl w:val="0"/>
          <w:numId w:val="2"/>
        </w:numPr>
        <w:spacing w:after="60"/>
      </w:pPr>
      <w:r>
        <w:rPr>
          <w:rFonts w:ascii="Calibri" w:cs="Calibri" w:eastAsia="Calibri" w:hAnsi="Calibri"/>
          <w:color w:val="1B2A55"/>
          <w:sz w:val="21"/>
          <w:szCs w:val="21"/>
        </w:rPr>
        <w:t xml:space="preserve">Decisions that stalled on unclear authority</w:t>
      </w:r>
    </w:p>
    <w:p>
      <w:pPr>
        <w:pStyle w:val="ListParagraph"/>
        <w:numPr>
          <w:ilvl w:val="0"/>
          <w:numId w:val="2"/>
        </w:numPr>
        <w:spacing w:after="60"/>
      </w:pPr>
      <w:r>
        <w:rPr>
          <w:rFonts w:ascii="Calibri" w:cs="Calibri" w:eastAsia="Calibri" w:hAnsi="Calibri"/>
          <w:color w:val="1B2A55"/>
          <w:sz w:val="21"/>
          <w:szCs w:val="21"/>
        </w:rPr>
        <w:t xml:space="preserve">Audit findings that recur rather than close</w:t>
      </w:r>
    </w:p>
    <w:p>
      <w:pPr>
        <w:pStyle w:val="ListParagraph"/>
        <w:numPr>
          <w:ilvl w:val="0"/>
          <w:numId w:val="2"/>
        </w:numPr>
        <w:spacing w:after="60"/>
      </w:pPr>
      <w:r>
        <w:rPr>
          <w:rFonts w:ascii="Calibri" w:cs="Calibri" w:eastAsia="Calibri" w:hAnsi="Calibri"/>
          <w:color w:val="1B2A55"/>
          <w:sz w:val="21"/>
          <w:szCs w:val="21"/>
        </w:rPr>
        <w:t xml:space="preserve">Exceptions that quietly became permanent</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"We cannot move fast or prove control if no one owns the decision."</w:t>
      </w:r>
    </w:p>
    <w:p>
      <w:pPr>
        <w:pageBreakBefore/>
        <w:spacing w:after="60"/>
      </w:pPr>
      <w:r>
        <w:rPr>
          <w:rFonts w:ascii="Calibri" w:cs="Calibri" w:eastAsia="Calibri" w:hAnsi="Calibri"/>
          <w:b/>
          <w:bCs/>
          <w:color w:val="1B2A55"/>
          <w:sz w:val="30"/>
          <w:szCs w:val="30"/>
        </w:rPr>
        <w:t xml:space="preserve">Lifecycle</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Lifecycle is a business function, not a technical chore. Access that lingers after someone leaves is the risk everyone pictures. Access that is never cleaned up is the spend no one sees. Clean lifecycle is why unused licenses and seats come back as recovered spend instead of renewing quietly in the background, the one identity outcome a finance leader can read straight off a renewal.</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Days of active access after departure on the systems that matter most</w:t>
      </w:r>
    </w:p>
    <w:p>
      <w:pPr>
        <w:pStyle w:val="ListParagraph"/>
        <w:numPr>
          <w:ilvl w:val="0"/>
          <w:numId w:val="2"/>
        </w:numPr>
        <w:spacing w:after="60"/>
      </w:pPr>
      <w:r>
        <w:rPr>
          <w:rFonts w:ascii="Calibri" w:cs="Calibri" w:eastAsia="Calibri" w:hAnsi="Calibri"/>
          <w:color w:val="1B2A55"/>
          <w:sz w:val="21"/>
          <w:szCs w:val="21"/>
        </w:rPr>
        <w:t xml:space="preserve">Recovered license and seat spend from retired access</w:t>
      </w:r>
    </w:p>
    <w:p>
      <w:pPr>
        <w:pStyle w:val="ListParagraph"/>
        <w:numPr>
          <w:ilvl w:val="0"/>
          <w:numId w:val="2"/>
        </w:numPr>
        <w:spacing w:after="60"/>
      </w:pPr>
      <w:r>
        <w:rPr>
          <w:rFonts w:ascii="Calibri" w:cs="Calibri" w:eastAsia="Calibri" w:hAnsi="Calibri"/>
          <w:color w:val="1B2A55"/>
          <w:sz w:val="21"/>
          <w:szCs w:val="21"/>
        </w:rPr>
        <w:t xml:space="preserve">Time from hire to full, correct access</w:t>
      </w:r>
    </w:p>
    <w:p>
      <w:pPr>
        <w:pStyle w:val="ListParagraph"/>
        <w:numPr>
          <w:ilvl w:val="0"/>
          <w:numId w:val="2"/>
        </w:numPr>
        <w:spacing w:after="60"/>
      </w:pPr>
      <w:r>
        <w:rPr>
          <w:rFonts w:ascii="Calibri" w:cs="Calibri" w:eastAsia="Calibri" w:hAnsi="Calibri"/>
          <w:color w:val="1B2A55"/>
          <w:sz w:val="21"/>
          <w:szCs w:val="21"/>
        </w:rPr>
        <w:t xml:space="preserve">Accounts still active for people who have left</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"Lifecycle is where risk leaves the building and where budget quietly comes back."</w:t>
      </w:r>
    </w:p>
    <w:p>
      <w:pPr>
        <w:pageBreakBefore/>
        <w:spacing w:after="60"/>
      </w:pPr>
      <w:r>
        <w:rPr>
          <w:rFonts w:ascii="Calibri" w:cs="Calibri" w:eastAsia="Calibri" w:hAnsi="Calibri"/>
          <w:b/>
          <w:bCs/>
          <w:color w:val="1B2A55"/>
          <w:sz w:val="30"/>
          <w:szCs w:val="30"/>
        </w:rPr>
        <w:t xml:space="preserve">Access</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Access is where damage concentrates. A handful of standing administrative rights and the entitlements that reach the most sensitive systems carry most of the consequence. When access reflects purpose, least privilege and separation of duties stop being audit words and become real. When it does not, a privilege chain becomes the next incident.</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Standing administrative accounts, and who owns each</w:t>
      </w:r>
    </w:p>
    <w:p>
      <w:pPr>
        <w:pStyle w:val="ListParagraph"/>
        <w:numPr>
          <w:ilvl w:val="0"/>
          <w:numId w:val="2"/>
        </w:numPr>
        <w:spacing w:after="60"/>
      </w:pPr>
      <w:r>
        <w:rPr>
          <w:rFonts w:ascii="Calibri" w:cs="Calibri" w:eastAsia="Calibri" w:hAnsi="Calibri"/>
          <w:color w:val="1B2A55"/>
          <w:sz w:val="21"/>
          <w:szCs w:val="21"/>
        </w:rPr>
        <w:t xml:space="preserve">Paths that reach the most sensitive systems</w:t>
      </w:r>
    </w:p>
    <w:p>
      <w:pPr>
        <w:pStyle w:val="ListParagraph"/>
        <w:numPr>
          <w:ilvl w:val="0"/>
          <w:numId w:val="2"/>
        </w:numPr>
        <w:spacing w:after="60"/>
      </w:pPr>
      <w:r>
        <w:rPr>
          <w:rFonts w:ascii="Calibri" w:cs="Calibri" w:eastAsia="Calibri" w:hAnsi="Calibri"/>
          <w:color w:val="1B2A55"/>
          <w:sz w:val="21"/>
          <w:szCs w:val="21"/>
        </w:rPr>
        <w:t xml:space="preserve">Access that cannot be explained by a business purpose</w:t>
      </w:r>
    </w:p>
    <w:p>
      <w:pPr>
        <w:pStyle w:val="ListParagraph"/>
        <w:numPr>
          <w:ilvl w:val="0"/>
          <w:numId w:val="2"/>
        </w:numPr>
        <w:spacing w:after="60"/>
      </w:pPr>
      <w:r>
        <w:rPr>
          <w:rFonts w:ascii="Calibri" w:cs="Calibri" w:eastAsia="Calibri" w:hAnsi="Calibri"/>
          <w:color w:val="1B2A55"/>
          <w:sz w:val="21"/>
          <w:szCs w:val="21"/>
        </w:rPr>
        <w:t xml:space="preserve">Combinations that break separation of duties</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"A few access paths carry most of the risk, and we should be able to name and own every one."</w:t>
      </w:r>
    </w:p>
    <w:p>
      <w:pPr>
        <w:pageBreakBefore/>
        <w:spacing w:after="60"/>
      </w:pPr>
      <w:r>
        <w:rPr>
          <w:rFonts w:ascii="Calibri" w:cs="Calibri" w:eastAsia="Calibri" w:hAnsi="Calibri"/>
          <w:b/>
          <w:bCs/>
          <w:color w:val="1B2A55"/>
          <w:sz w:val="30"/>
          <w:szCs w:val="30"/>
        </w:rPr>
        <w:t xml:space="preserve">Technology</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The credentials underneath, machine identities, certificates, and workload trust, are invisible until they fail, and then they fail loudly. The certificate that expired and took the service down. The service account no one owned that became the incident. Strategic identity is the outage that never happened and never made the news.</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Machine credentials and certificates with no owner or no known expiry</w:t>
      </w:r>
    </w:p>
    <w:p>
      <w:pPr>
        <w:pStyle w:val="ListParagraph"/>
        <w:numPr>
          <w:ilvl w:val="0"/>
          <w:numId w:val="2"/>
        </w:numPr>
        <w:spacing w:after="60"/>
      </w:pPr>
      <w:r>
        <w:rPr>
          <w:rFonts w:ascii="Calibri" w:cs="Calibri" w:eastAsia="Calibri" w:hAnsi="Calibri"/>
          <w:color w:val="1B2A55"/>
          <w:sz w:val="21"/>
          <w:szCs w:val="21"/>
        </w:rPr>
        <w:t xml:space="preserve">Outages avoided by tracking expiry and rotation</w:t>
      </w:r>
    </w:p>
    <w:p>
      <w:pPr>
        <w:pStyle w:val="ListParagraph"/>
        <w:numPr>
          <w:ilvl w:val="0"/>
          <w:numId w:val="2"/>
        </w:numPr>
        <w:spacing w:after="60"/>
      </w:pPr>
      <w:r>
        <w:rPr>
          <w:rFonts w:ascii="Calibri" w:cs="Calibri" w:eastAsia="Calibri" w:hAnsi="Calibri"/>
          <w:color w:val="1B2A55"/>
          <w:sz w:val="21"/>
          <w:szCs w:val="21"/>
        </w:rPr>
        <w:t xml:space="preserve">Nonhuman identities growing faster than governance can track</w:t>
      </w:r>
    </w:p>
    <w:p>
      <w:pPr>
        <w:pStyle w:val="ListParagraph"/>
        <w:numPr>
          <w:ilvl w:val="0"/>
          <w:numId w:val="2"/>
        </w:numPr>
        <w:spacing w:after="60"/>
      </w:pPr>
      <w:r>
        <w:rPr>
          <w:rFonts w:ascii="Calibri" w:cs="Calibri" w:eastAsia="Calibri" w:hAnsi="Calibri"/>
          <w:color w:val="1B2A55"/>
          <w:sz w:val="21"/>
          <w:szCs w:val="21"/>
        </w:rPr>
        <w:t xml:space="preserve">Service accounts that no person will claim</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"The credentials no one is watching are the outage we have not had yet."</w:t>
      </w:r>
    </w:p>
    <w:p>
      <w:pPr>
        <w:pageBreakBefore/>
        <w:spacing w:after="60"/>
      </w:pPr>
      <w:r>
        <w:rPr>
          <w:rFonts w:ascii="Calibri" w:cs="Calibri" w:eastAsia="Calibri" w:hAnsi="Calibri"/>
          <w:b/>
          <w:bCs/>
          <w:color w:val="1B2A55"/>
          <w:sz w:val="30"/>
          <w:szCs w:val="30"/>
        </w:rPr>
        <w:t xml:space="preserve">People and Change</w:t>
      </w:r>
    </w:p>
    <w:p>
      <w:pPr>
        <w:spacing w:after="50" w:before="150"/>
      </w:pPr>
      <w:r>
        <w:rPr>
          <w:rFonts w:ascii="Calibri" w:cs="Calibri" w:eastAsia="Calibri" w:hAnsi="Calibri"/>
          <w:b/>
          <w:bCs/>
          <w:color w:val="1B2A55"/>
          <w:sz w:val="15"/>
          <w:szCs w:val="15"/>
        </w:rPr>
        <w:t xml:space="preserve">THE CASE</w:t>
      </w:r>
    </w:p>
    <w:p>
      <w:pPr>
        <w:spacing w:after="120"/>
      </w:pPr>
      <w:r>
        <w:rPr>
          <w:rFonts w:ascii="Calibri" w:cs="Calibri" w:eastAsia="Calibri" w:hAnsi="Calibri"/>
          <w:color w:val="1B2A55"/>
          <w:sz w:val="21"/>
          <w:szCs w:val="21"/>
        </w:rPr>
        <w:t xml:space="preserve">Identity is a business function that people have to adopt, not a tool that gets installed. The model sticks only when the people it touches understand it and a leader visibly backs it. The most common failure here is not technical. It is going year after year without enough executive support to even stand up a working group that meets and decides.</w:t>
      </w:r>
    </w:p>
    <w:p>
      <w:pPr>
        <w:spacing w:after="50" w:before="150"/>
      </w:pPr>
      <w:r>
        <w:rPr>
          <w:rFonts w:ascii="Calibri" w:cs="Calibri" w:eastAsia="Calibri" w:hAnsi="Calibri"/>
          <w:b/>
          <w:bCs/>
          <w:color w:val="1B2A55"/>
          <w:sz w:val="15"/>
          <w:szCs w:val="15"/>
        </w:rPr>
        <w:t xml:space="preserve">THE NUMBERS TO BRING</w:t>
      </w:r>
    </w:p>
    <w:p>
      <w:pPr>
        <w:pStyle w:val="ListParagraph"/>
        <w:numPr>
          <w:ilvl w:val="0"/>
          <w:numId w:val="2"/>
        </w:numPr>
        <w:spacing w:after="60"/>
      </w:pPr>
      <w:r>
        <w:rPr>
          <w:rFonts w:ascii="Calibri" w:cs="Calibri" w:eastAsia="Calibri" w:hAnsi="Calibri"/>
          <w:color w:val="1B2A55"/>
          <w:sz w:val="21"/>
          <w:szCs w:val="21"/>
        </w:rPr>
        <w:t xml:space="preserve">Whether an active sponsor exists, by name</w:t>
      </w:r>
    </w:p>
    <w:p>
      <w:pPr>
        <w:pStyle w:val="ListParagraph"/>
        <w:numPr>
          <w:ilvl w:val="0"/>
          <w:numId w:val="2"/>
        </w:numPr>
        <w:spacing w:after="60"/>
      </w:pPr>
      <w:r>
        <w:rPr>
          <w:rFonts w:ascii="Calibri" w:cs="Calibri" w:eastAsia="Calibri" w:hAnsi="Calibri"/>
          <w:color w:val="1B2A55"/>
          <w:sz w:val="21"/>
          <w:szCs w:val="21"/>
        </w:rPr>
        <w:t xml:space="preserve">Whether a working group meets and actually decides</w:t>
      </w:r>
    </w:p>
    <w:p>
      <w:pPr>
        <w:pStyle w:val="ListParagraph"/>
        <w:numPr>
          <w:ilvl w:val="0"/>
          <w:numId w:val="2"/>
        </w:numPr>
        <w:spacing w:after="60"/>
      </w:pPr>
      <w:r>
        <w:rPr>
          <w:rFonts w:ascii="Calibri" w:cs="Calibri" w:eastAsia="Calibri" w:hAnsi="Calibri"/>
          <w:color w:val="1B2A55"/>
          <w:sz w:val="21"/>
          <w:szCs w:val="21"/>
        </w:rPr>
        <w:t xml:space="preserve">Adoption measured as changed behavior, not attendance</w:t>
      </w:r>
    </w:p>
    <w:p>
      <w:pPr>
        <w:pStyle w:val="ListParagraph"/>
        <w:numPr>
          <w:ilvl w:val="0"/>
          <w:numId w:val="2"/>
        </w:numPr>
        <w:spacing w:after="60"/>
      </w:pPr>
      <w:r>
        <w:rPr>
          <w:rFonts w:ascii="Calibri" w:cs="Calibri" w:eastAsia="Calibri" w:hAnsi="Calibri"/>
          <w:color w:val="1B2A55"/>
          <w:sz w:val="21"/>
          <w:szCs w:val="21"/>
        </w:rPr>
        <w:t xml:space="preserve">Resistance read as a signal about the design, not as noise</w:t>
      </w:r>
    </w:p>
    <w:p>
      <w:pPr>
        <w:spacing w:after="50" w:before="150"/>
      </w:pPr>
      <w:r>
        <w:rPr>
          <w:rFonts w:ascii="Calibri" w:cs="Calibri" w:eastAsia="Calibri" w:hAnsi="Calibri"/>
          <w:b/>
          <w:bCs/>
          <w:color w:val="1B2A55"/>
          <w:sz w:val="15"/>
          <w:szCs w:val="15"/>
        </w:rPr>
        <w:t xml:space="preserve">IN ONE SENTENCE</w:t>
      </w:r>
    </w:p>
    <w:p>
      <w:pPr>
        <w:spacing w:after="40" w:before="30"/>
      </w:pPr>
      <w:r>
        <w:rPr>
          <w:rFonts w:ascii="Calibri" w:cs="Calibri" w:eastAsia="Calibri" w:hAnsi="Calibri"/>
          <w:i/>
          <w:iCs/>
          <w:color w:val="1B2A55"/>
          <w:sz w:val="23"/>
          <w:szCs w:val="23"/>
        </w:rPr>
        <w:t xml:space="preserve">"Without a sponsor and a working group, the best identity design still does not land."</w:t>
      </w:r>
    </w:p>
    <w:sectPr>
      <w:footerReference w:type="default" r:id="rId7"/>
      <w:headerReference w:type="default" r:id="rId9"/>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A5680"/>
        <w:sz w:val="16"/>
        <w:szCs w:val="16"/>
      </w:rPr>
      <w:t xml:space="preserve">©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Selling Identity to Executives</dc:title>
  <dc:subject>Companion to The Modern Identity Operating Model</dc:subject>
  <dc:creator>Becky Sandberg</dc:creator>
  <cp:lastModifiedBy>Becky Sandberg</cp:lastModifiedBy>
  <cp:keywords>identity, IAM, operating model</cp:keywords>
  <dcterms:created xsi:type="dcterms:W3CDTF">2026-07-10T01:41:19.399Z</dcterms:created>
  <dcterms:modified xsi:type="dcterms:W3CDTF">2026-07-10T01:41:19.417Z</dcterms:modified>
</cp:coreProperties>
</file>

<file path=docProps/custom.xml><?xml version="1.0" encoding="utf-8"?>
<Properties xmlns="http://schemas.openxmlformats.org/officeDocument/2006/custom-properties" xmlns:vt="http://schemas.openxmlformats.org/officeDocument/2006/docPropsVTypes"/>
</file>